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  <w:r w:rsidRPr="00DB1FCD">
        <w:rPr>
          <w:noProof/>
          <w:lang w:eastAsia="es-DO"/>
        </w:rPr>
        <mc:AlternateContent>
          <mc:Choice Requires="wps">
            <w:drawing>
              <wp:inline distT="0" distB="0" distL="0" distR="0" wp14:anchorId="06886671" wp14:editId="39CEA849">
                <wp:extent cx="5400040" cy="1168066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1168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30C" w:rsidRPr="00913ACE" w:rsidRDefault="00A4330C" w:rsidP="00A433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ACE">
                              <w:rPr>
                                <w:rFonts w:ascii="Arial" w:hAnsi="Arial" w:cs="Arial"/>
                                <w:b/>
                                <w:i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INFORME </w:t>
                            </w:r>
                          </w:p>
                          <w:p w:rsidR="00A4330C" w:rsidRPr="00913ACE" w:rsidRDefault="00A4330C" w:rsidP="00A433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ACE">
                              <w:rPr>
                                <w:rFonts w:ascii="Arial" w:hAnsi="Arial" w:cs="Arial"/>
                                <w:b/>
                                <w:i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" filled="f" stroked="f">
                <o:lock v:ext="edit" text="t" shapetype="t"/>
                <v:textbox style="mso-fit-shape-to-text:t">
                  <w:txbxContent>
                    <w:p w:rsidR="00A4330C" w:rsidRPr="00913ACE" w:rsidRDefault="00A4330C" w:rsidP="00A433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ACE">
                        <w:rPr>
                          <w:rFonts w:ascii="Arial" w:hAnsi="Arial" w:cs="Arial"/>
                          <w:b/>
                          <w:i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INFORME </w:t>
                      </w:r>
                    </w:p>
                    <w:p w:rsidR="00A4330C" w:rsidRPr="00913ACE" w:rsidRDefault="00A4330C" w:rsidP="00A433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i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ACE">
                        <w:rPr>
                          <w:rFonts w:ascii="Arial" w:hAnsi="Arial" w:cs="Arial"/>
                          <w:b/>
                          <w:i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ESTADÍSTICO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913ACE" w:rsidP="00A4330C">
      <w:pPr>
        <w:jc w:val="center"/>
        <w:rPr>
          <w:lang w:val="es-ES"/>
        </w:rPr>
      </w:pPr>
      <w:r w:rsidRPr="00DB1FCD">
        <w:rPr>
          <w:noProof/>
          <w:lang w:eastAsia="es-DO"/>
        </w:rPr>
        <mc:AlternateContent>
          <mc:Choice Requires="wps">
            <w:drawing>
              <wp:inline distT="0" distB="0" distL="0" distR="0" wp14:anchorId="6314E4CF" wp14:editId="339AC6E5">
                <wp:extent cx="5390338" cy="1010285"/>
                <wp:effectExtent l="0" t="0" r="1270" b="0"/>
                <wp:docPr id="1" name="Cuadro de texto 1" descr="CORRESPONDIENTE   &#10;AL   MES   DE  OCTUBRE 2017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0338" cy="1010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913ACE" w:rsidRPr="00913ACE" w:rsidRDefault="00913ACE" w:rsidP="00913ACE">
                            <w:pPr>
                              <w:pStyle w:val="Subttulo"/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</w:pPr>
                            <w:r w:rsidRPr="00913ACE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 xml:space="preserve">tRIMESTRE </w:t>
                            </w:r>
                          </w:p>
                          <w:p w:rsidR="00913ACE" w:rsidRPr="00913ACE" w:rsidRDefault="00913ACE" w:rsidP="00913ACE">
                            <w:pPr>
                              <w:pStyle w:val="Subttulo"/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</w:pPr>
                            <w:r w:rsidRPr="00913ACE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 xml:space="preserve"> </w:t>
                            </w:r>
                            <w:r w:rsidRPr="00913ACE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 xml:space="preserve"> </w:t>
                            </w:r>
                            <w:r w:rsidRPr="00913ACE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>junio</w:t>
                            </w:r>
                          </w:p>
                          <w:p w:rsidR="00913ACE" w:rsidRPr="00913ACE" w:rsidRDefault="00913ACE" w:rsidP="00913ACE">
                            <w:pPr>
                              <w:pStyle w:val="Subttulo"/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</w:pPr>
                            <w:r w:rsidRPr="00913ACE">
                              <w:rPr>
                                <w:rFonts w:ascii="Arial" w:hAnsi="Arial" w:cs="Arial"/>
                                <w:color w:val="002060"/>
                                <w:lang w:val="es-ES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" o:spid="_x0000_s1027" type="#_x0000_t202" alt="Descripción: CORRESPONDIENTE   &#10;AL   MES   DE  OCTUBRE 2017&#10;" style="width:424.45pt;height:7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" fillcolor="#d9e2f3 [660]" stroked="f">
                <o:lock v:ext="edit" text="t" shapetype="t"/>
                <v:textbox style="mso-fit-shape-to-text:t">
                  <w:txbxContent>
                    <w:p w:rsidR="00913ACE" w:rsidRPr="00913ACE" w:rsidRDefault="00913ACE" w:rsidP="00913ACE">
                      <w:pPr>
                        <w:pStyle w:val="Subttulo"/>
                        <w:jc w:val="center"/>
                        <w:rPr>
                          <w:rFonts w:ascii="Arial" w:hAnsi="Arial" w:cs="Arial"/>
                          <w:color w:val="002060"/>
                          <w:lang w:val="es-ES"/>
                        </w:rPr>
                      </w:pPr>
                      <w:r w:rsidRPr="00913ACE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 xml:space="preserve">tRIMESTRE </w:t>
                      </w:r>
                    </w:p>
                    <w:p w:rsidR="00913ACE" w:rsidRPr="00913ACE" w:rsidRDefault="00913ACE" w:rsidP="00913ACE">
                      <w:pPr>
                        <w:pStyle w:val="Subttulo"/>
                        <w:jc w:val="center"/>
                        <w:rPr>
                          <w:rFonts w:ascii="Arial" w:hAnsi="Arial" w:cs="Arial"/>
                          <w:color w:val="002060"/>
                          <w:lang w:val="es-ES"/>
                        </w:rPr>
                      </w:pPr>
                      <w:r w:rsidRPr="00913ACE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>Abril</w:t>
                      </w:r>
                      <w:r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 xml:space="preserve"> </w:t>
                      </w:r>
                      <w:r w:rsidRPr="00913ACE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 xml:space="preserve"> </w:t>
                      </w:r>
                      <w:r w:rsidRPr="00913ACE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>junio</w:t>
                      </w:r>
                    </w:p>
                    <w:p w:rsidR="00913ACE" w:rsidRPr="00913ACE" w:rsidRDefault="00913ACE" w:rsidP="00913ACE">
                      <w:pPr>
                        <w:pStyle w:val="Subttulo"/>
                        <w:jc w:val="center"/>
                        <w:rPr>
                          <w:rFonts w:ascii="Arial" w:hAnsi="Arial" w:cs="Arial"/>
                          <w:color w:val="002060"/>
                          <w:lang w:val="es-ES"/>
                        </w:rPr>
                      </w:pPr>
                      <w:r w:rsidRPr="00913ACE">
                        <w:rPr>
                          <w:rFonts w:ascii="Arial" w:hAnsi="Arial" w:cs="Arial"/>
                          <w:color w:val="002060"/>
                          <w:lang w:val="es-ES"/>
                        </w:rPr>
                        <w:t>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A4330C" w:rsidRDefault="00A4330C" w:rsidP="00A4330C">
      <w:pPr>
        <w:jc w:val="center"/>
        <w:rPr>
          <w:lang w:val="es-ES"/>
        </w:rPr>
      </w:pPr>
    </w:p>
    <w:p w:rsidR="00991E5B" w:rsidRDefault="00991E5B" w:rsidP="00A4330C"/>
    <w:p w:rsidR="00991E5B" w:rsidRDefault="00991E5B">
      <w:pPr>
        <w:spacing w:after="160" w:line="259" w:lineRule="auto"/>
      </w:pPr>
      <w:r>
        <w:br w:type="page"/>
      </w:r>
    </w:p>
    <w:p w:rsidR="00EC4E0B" w:rsidRPr="00C42ED4" w:rsidRDefault="00373176" w:rsidP="00373176">
      <w:pPr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sz w:val="32"/>
          <w:lang w:val="es-ES"/>
        </w:rPr>
        <w:lastRenderedPageBreak/>
        <w:t>Gestión Operativa</w:t>
      </w:r>
    </w:p>
    <w:p w:rsidR="00FD584E" w:rsidRPr="00913ACE" w:rsidRDefault="00FD584E" w:rsidP="00913ACE">
      <w:pPr>
        <w:jc w:val="both"/>
      </w:pPr>
    </w:p>
    <w:p w:rsidR="00FD584E" w:rsidRPr="00913ACE" w:rsidRDefault="00844BBD" w:rsidP="00373176">
      <w:pPr>
        <w:spacing w:line="276" w:lineRule="auto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 xml:space="preserve">En </w:t>
      </w:r>
      <w:r w:rsidR="00913ACE">
        <w:rPr>
          <w:rFonts w:ascii="Arial" w:hAnsi="Arial" w:cs="Arial"/>
          <w:lang w:val="es-ES"/>
        </w:rPr>
        <w:t>este t</w:t>
      </w:r>
      <w:r w:rsidR="00913ACE" w:rsidRPr="00913ACE">
        <w:rPr>
          <w:rFonts w:ascii="Arial" w:hAnsi="Arial" w:cs="Arial"/>
          <w:lang w:val="es-ES"/>
        </w:rPr>
        <w:t>rimestre</w:t>
      </w:r>
      <w:r w:rsidR="00913ACE">
        <w:rPr>
          <w:rFonts w:ascii="Arial" w:hAnsi="Arial" w:cs="Arial"/>
          <w:lang w:val="es-ES"/>
        </w:rPr>
        <w:t xml:space="preserve">, </w:t>
      </w:r>
      <w:r w:rsidRPr="00913ACE">
        <w:rPr>
          <w:rFonts w:ascii="Arial" w:hAnsi="Arial" w:cs="Arial"/>
          <w:lang w:val="es-ES"/>
        </w:rPr>
        <w:t>la producción cerró con un promedio de 410.38 Millones de galones diarios (MGD), con un incremento que giró en torno a unos 3.24 millones de galones diarios (MGD) por encima del promedio del trimestre anterior (407.14 MGD).</w:t>
      </w:r>
    </w:p>
    <w:p w:rsidR="00FD584E" w:rsidRPr="00913ACE" w:rsidRDefault="00FD584E" w:rsidP="00913ACE">
      <w:pPr>
        <w:jc w:val="both"/>
      </w:pPr>
    </w:p>
    <w:p w:rsidR="00C42ED4" w:rsidRDefault="00C42ED4" w:rsidP="00C42ED4">
      <w:pPr>
        <w:jc w:val="both"/>
      </w:pPr>
      <w:r>
        <w:t xml:space="preserve">    </w:t>
      </w:r>
      <w:r w:rsidR="00FD584E" w:rsidRPr="00913ACE">
        <w:t>Cuadro No. 1</w:t>
      </w:r>
    </w:p>
    <w:p w:rsidR="00ED30E7" w:rsidRPr="00913ACE" w:rsidRDefault="00FD584E" w:rsidP="00913ACE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913ACE">
        <w:fldChar w:fldCharType="begin"/>
      </w:r>
      <w:r w:rsidRPr="00913ACE">
        <w:instrText xml:space="preserve"> LINK Excel.Sheet.12 "Libro1" "Hoja1!F1C7:F7C11" \a \f 4 \h </w:instrText>
      </w:r>
      <w:r w:rsidR="00913ACE" w:rsidRPr="00913ACE">
        <w:instrText xml:space="preserve"> \* MERGEFORMAT </w:instrText>
      </w:r>
      <w:r w:rsidRPr="00913ACE">
        <w:fldChar w:fldCharType="separate"/>
      </w:r>
    </w:p>
    <w:tbl>
      <w:tblPr>
        <w:tblW w:w="7878" w:type="dxa"/>
        <w:jc w:val="center"/>
        <w:tblInd w:w="-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245"/>
        <w:gridCol w:w="1423"/>
        <w:gridCol w:w="1159"/>
        <w:gridCol w:w="1670"/>
      </w:tblGrid>
      <w:tr w:rsidR="00ED30E7" w:rsidRPr="00913ACE" w:rsidTr="00373176">
        <w:trPr>
          <w:divId w:val="496770938"/>
          <w:trHeight w:val="450"/>
          <w:jc w:val="center"/>
        </w:trPr>
        <w:tc>
          <w:tcPr>
            <w:tcW w:w="2381" w:type="dxa"/>
            <w:vMerge w:val="restart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5497" w:type="dxa"/>
            <w:gridSpan w:val="4"/>
            <w:tcBorders>
              <w:top w:val="single" w:sz="8" w:space="0" w:color="33CCCC"/>
              <w:left w:val="nil"/>
              <w:bottom w:val="nil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Producción de Agua (MGD)*</w:t>
            </w:r>
          </w:p>
        </w:tc>
      </w:tr>
      <w:tr w:rsidR="00ED30E7" w:rsidRPr="00913ACE" w:rsidTr="00373176">
        <w:trPr>
          <w:divId w:val="496770938"/>
          <w:trHeight w:val="585"/>
          <w:jc w:val="center"/>
        </w:trPr>
        <w:tc>
          <w:tcPr>
            <w:tcW w:w="2381" w:type="dxa"/>
            <w:vMerge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Promedio</w:t>
            </w:r>
          </w:p>
          <w:p w:rsidR="00844BBD" w:rsidRPr="00913ACE" w:rsidRDefault="00844BBD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Trimestre</w:t>
            </w:r>
          </w:p>
        </w:tc>
      </w:tr>
      <w:tr w:rsidR="00ED30E7" w:rsidRPr="00913ACE" w:rsidTr="00373176">
        <w:trPr>
          <w:divId w:val="496770938"/>
          <w:trHeight w:val="330"/>
          <w:jc w:val="center"/>
        </w:trPr>
        <w:tc>
          <w:tcPr>
            <w:tcW w:w="2381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150.05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148.05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149.01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149.04</w:t>
            </w:r>
          </w:p>
        </w:tc>
      </w:tr>
      <w:tr w:rsidR="00ED30E7" w:rsidRPr="00913ACE" w:rsidTr="00373176">
        <w:trPr>
          <w:divId w:val="496770938"/>
          <w:trHeight w:val="330"/>
          <w:jc w:val="center"/>
        </w:trPr>
        <w:tc>
          <w:tcPr>
            <w:tcW w:w="2381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1245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111.7</w:t>
            </w:r>
          </w:p>
        </w:tc>
        <w:tc>
          <w:tcPr>
            <w:tcW w:w="1423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107.78</w:t>
            </w:r>
          </w:p>
        </w:tc>
        <w:tc>
          <w:tcPr>
            <w:tcW w:w="1159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110.9</w:t>
            </w:r>
          </w:p>
        </w:tc>
        <w:tc>
          <w:tcPr>
            <w:tcW w:w="1670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110.13</w:t>
            </w:r>
          </w:p>
        </w:tc>
      </w:tr>
      <w:tr w:rsidR="00ED30E7" w:rsidRPr="00913ACE" w:rsidTr="00373176">
        <w:trPr>
          <w:divId w:val="496770938"/>
          <w:trHeight w:val="330"/>
          <w:jc w:val="center"/>
        </w:trPr>
        <w:tc>
          <w:tcPr>
            <w:tcW w:w="2381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113.8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116.92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118.2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116.31</w:t>
            </w:r>
          </w:p>
        </w:tc>
      </w:tr>
      <w:tr w:rsidR="00ED30E7" w:rsidRPr="00913ACE" w:rsidTr="00373176">
        <w:trPr>
          <w:divId w:val="496770938"/>
          <w:trHeight w:val="330"/>
          <w:jc w:val="center"/>
        </w:trPr>
        <w:tc>
          <w:tcPr>
            <w:tcW w:w="2381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1245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35.07</w:t>
            </w:r>
          </w:p>
        </w:tc>
        <w:tc>
          <w:tcPr>
            <w:tcW w:w="1423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34.25</w:t>
            </w:r>
          </w:p>
        </w:tc>
        <w:tc>
          <w:tcPr>
            <w:tcW w:w="1159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35.41</w:t>
            </w:r>
          </w:p>
        </w:tc>
        <w:tc>
          <w:tcPr>
            <w:tcW w:w="1670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34.91</w:t>
            </w:r>
          </w:p>
        </w:tc>
      </w:tr>
      <w:tr w:rsidR="00ED30E7" w:rsidRPr="00913ACE" w:rsidTr="00373176">
        <w:trPr>
          <w:divId w:val="496770938"/>
          <w:trHeight w:val="330"/>
          <w:jc w:val="center"/>
        </w:trPr>
        <w:tc>
          <w:tcPr>
            <w:tcW w:w="2381" w:type="dxa"/>
            <w:tcBorders>
              <w:top w:val="nil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410.62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406.99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413.52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410.38</w:t>
            </w:r>
          </w:p>
        </w:tc>
      </w:tr>
    </w:tbl>
    <w:p w:rsidR="00FD584E" w:rsidRPr="00C42ED4" w:rsidRDefault="00FD584E" w:rsidP="00913ACE">
      <w:pPr>
        <w:jc w:val="both"/>
        <w:rPr>
          <w:rFonts w:ascii="Arial" w:hAnsi="Arial" w:cs="Arial"/>
          <w:sz w:val="22"/>
        </w:rPr>
      </w:pPr>
      <w:r w:rsidRPr="00913ACE">
        <w:fldChar w:fldCharType="end"/>
      </w:r>
      <w:r w:rsidR="00C42ED4">
        <w:t xml:space="preserve">         </w:t>
      </w:r>
      <w:r w:rsidRPr="00C42ED4">
        <w:rPr>
          <w:rFonts w:ascii="Arial" w:hAnsi="Arial" w:cs="Arial"/>
          <w:sz w:val="20"/>
        </w:rPr>
        <w:t>Fuente: Dirección de Operaciones</w:t>
      </w:r>
    </w:p>
    <w:p w:rsidR="00FD584E" w:rsidRPr="00913ACE" w:rsidRDefault="00FD584E" w:rsidP="00913ACE">
      <w:pPr>
        <w:jc w:val="both"/>
      </w:pPr>
    </w:p>
    <w:p w:rsidR="00C42ED4" w:rsidRDefault="00C42ED4" w:rsidP="00913ACE">
      <w:pPr>
        <w:jc w:val="both"/>
      </w:pPr>
      <w:r>
        <w:t xml:space="preserve">      </w:t>
      </w:r>
      <w:r w:rsidR="00FD584E" w:rsidRPr="00913ACE">
        <w:t>Cuadro No. 2</w:t>
      </w:r>
    </w:p>
    <w:p w:rsidR="00ED30E7" w:rsidRPr="00913ACE" w:rsidRDefault="00FD584E" w:rsidP="00913ACE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913ACE">
        <w:fldChar w:fldCharType="begin"/>
      </w:r>
      <w:r w:rsidRPr="00913ACE">
        <w:instrText xml:space="preserve"> LINK Excel.Sheet.12 "Libro1" "Hoja1!F9C7:F15C11" \a \f 4 \h </w:instrText>
      </w:r>
      <w:r w:rsidR="00913ACE" w:rsidRPr="00913ACE">
        <w:instrText xml:space="preserve"> \* MERGEFORMAT </w:instrText>
      </w:r>
      <w:r w:rsidRPr="00913ACE">
        <w:fldChar w:fldCharType="separate"/>
      </w:r>
    </w:p>
    <w:tbl>
      <w:tblPr>
        <w:tblW w:w="7563" w:type="dxa"/>
        <w:jc w:val="center"/>
        <w:tblInd w:w="-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1261"/>
        <w:gridCol w:w="1418"/>
        <w:gridCol w:w="1134"/>
        <w:gridCol w:w="1512"/>
      </w:tblGrid>
      <w:tr w:rsidR="00ED30E7" w:rsidRPr="00913ACE" w:rsidTr="00373176">
        <w:trPr>
          <w:divId w:val="511845128"/>
          <w:trHeight w:val="315"/>
          <w:jc w:val="center"/>
        </w:trPr>
        <w:tc>
          <w:tcPr>
            <w:tcW w:w="2238" w:type="dxa"/>
            <w:vMerge w:val="restart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5325" w:type="dxa"/>
            <w:gridSpan w:val="4"/>
            <w:tcBorders>
              <w:top w:val="single" w:sz="8" w:space="0" w:color="33CCCC"/>
              <w:left w:val="nil"/>
              <w:bottom w:val="nil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Índice de potabilidad**</w:t>
            </w:r>
          </w:p>
        </w:tc>
      </w:tr>
      <w:tr w:rsidR="00ED30E7" w:rsidRPr="00913ACE" w:rsidTr="00373176">
        <w:trPr>
          <w:divId w:val="511845128"/>
          <w:trHeight w:val="585"/>
          <w:jc w:val="center"/>
        </w:trPr>
        <w:tc>
          <w:tcPr>
            <w:tcW w:w="2238" w:type="dxa"/>
            <w:vMerge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ED30E7" w:rsidRPr="00913ACE" w:rsidRDefault="00ED30E7" w:rsidP="00C42ED4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Promedio</w:t>
            </w:r>
            <w:r w:rsidR="00844BBD"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 xml:space="preserve"> Trimestre</w:t>
            </w:r>
          </w:p>
        </w:tc>
      </w:tr>
      <w:tr w:rsidR="00ED30E7" w:rsidRPr="00913ACE" w:rsidTr="00373176">
        <w:trPr>
          <w:divId w:val="511845128"/>
          <w:trHeight w:val="330"/>
          <w:jc w:val="center"/>
        </w:trPr>
        <w:tc>
          <w:tcPr>
            <w:tcW w:w="2238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98.40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98.14</w:t>
            </w:r>
          </w:p>
        </w:tc>
      </w:tr>
      <w:tr w:rsidR="00ED30E7" w:rsidRPr="00913ACE" w:rsidTr="00373176">
        <w:trPr>
          <w:divId w:val="511845128"/>
          <w:trHeight w:val="330"/>
          <w:jc w:val="center"/>
        </w:trPr>
        <w:tc>
          <w:tcPr>
            <w:tcW w:w="2238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1261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98.61</w:t>
            </w:r>
          </w:p>
        </w:tc>
        <w:tc>
          <w:tcPr>
            <w:tcW w:w="1418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98.38</w:t>
            </w:r>
          </w:p>
        </w:tc>
        <w:tc>
          <w:tcPr>
            <w:tcW w:w="1134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99.08</w:t>
            </w:r>
          </w:p>
        </w:tc>
        <w:tc>
          <w:tcPr>
            <w:tcW w:w="1512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98.69</w:t>
            </w:r>
          </w:p>
        </w:tc>
      </w:tr>
      <w:tr w:rsidR="00ED30E7" w:rsidRPr="00913ACE" w:rsidTr="00373176">
        <w:trPr>
          <w:divId w:val="511845128"/>
          <w:trHeight w:val="330"/>
          <w:jc w:val="center"/>
        </w:trPr>
        <w:tc>
          <w:tcPr>
            <w:tcW w:w="2238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99.33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98.80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99.38</w:t>
            </w:r>
          </w:p>
        </w:tc>
      </w:tr>
      <w:tr w:rsidR="00ED30E7" w:rsidRPr="00913ACE" w:rsidTr="00373176">
        <w:trPr>
          <w:divId w:val="511845128"/>
          <w:trHeight w:val="330"/>
          <w:jc w:val="center"/>
        </w:trPr>
        <w:tc>
          <w:tcPr>
            <w:tcW w:w="2238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1261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90.30</w:t>
            </w:r>
          </w:p>
        </w:tc>
        <w:tc>
          <w:tcPr>
            <w:tcW w:w="1418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90.30</w:t>
            </w:r>
          </w:p>
        </w:tc>
        <w:tc>
          <w:tcPr>
            <w:tcW w:w="1134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91.35</w:t>
            </w:r>
          </w:p>
        </w:tc>
        <w:tc>
          <w:tcPr>
            <w:tcW w:w="1512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90.65</w:t>
            </w:r>
          </w:p>
        </w:tc>
      </w:tr>
      <w:tr w:rsidR="00ED30E7" w:rsidRPr="00913ACE" w:rsidTr="00373176">
        <w:trPr>
          <w:divId w:val="511845128"/>
          <w:trHeight w:val="330"/>
          <w:jc w:val="center"/>
        </w:trPr>
        <w:tc>
          <w:tcPr>
            <w:tcW w:w="2238" w:type="dxa"/>
            <w:tcBorders>
              <w:top w:val="nil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**98.21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**97.20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**97.91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ED30E7" w:rsidRPr="00913ACE" w:rsidRDefault="00ED30E7" w:rsidP="00C42ED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 </w:t>
            </w:r>
          </w:p>
        </w:tc>
      </w:tr>
    </w:tbl>
    <w:p w:rsidR="00C42ED4" w:rsidRPr="00C42ED4" w:rsidRDefault="00FD584E" w:rsidP="00C42ED4">
      <w:pPr>
        <w:ind w:firstLine="708"/>
        <w:jc w:val="both"/>
        <w:rPr>
          <w:rFonts w:ascii="Arial" w:hAnsi="Arial" w:cs="Arial"/>
        </w:rPr>
      </w:pPr>
      <w:r w:rsidRPr="00913ACE">
        <w:fldChar w:fldCharType="end"/>
      </w:r>
      <w:r w:rsidR="00C42ED4" w:rsidRPr="00C42ED4">
        <w:rPr>
          <w:rFonts w:ascii="Arial" w:hAnsi="Arial" w:cs="Arial"/>
        </w:rPr>
        <w:t>F</w:t>
      </w:r>
      <w:r w:rsidR="00C42ED4" w:rsidRPr="00C42ED4">
        <w:rPr>
          <w:rFonts w:ascii="Arial" w:hAnsi="Arial" w:cs="Arial"/>
          <w:sz w:val="20"/>
        </w:rPr>
        <w:t>uente del cuadro 2, proviene de la Dirección de control y calidad de las aguas</w:t>
      </w:r>
    </w:p>
    <w:p w:rsidR="00FD584E" w:rsidRPr="00C42ED4" w:rsidRDefault="00FD584E" w:rsidP="00C42ED4">
      <w:pPr>
        <w:ind w:left="708"/>
        <w:jc w:val="both"/>
        <w:rPr>
          <w:rFonts w:ascii="Arial" w:hAnsi="Arial" w:cs="Arial"/>
          <w:sz w:val="18"/>
        </w:rPr>
      </w:pPr>
      <w:r w:rsidRPr="00C42ED4">
        <w:rPr>
          <w:rFonts w:ascii="Arial" w:hAnsi="Arial" w:cs="Arial"/>
          <w:sz w:val="18"/>
        </w:rPr>
        <w:t>Notas:</w:t>
      </w:r>
    </w:p>
    <w:p w:rsidR="00FD584E" w:rsidRPr="00C42ED4" w:rsidRDefault="00FD584E" w:rsidP="00C42ED4">
      <w:pPr>
        <w:ind w:left="1275" w:hanging="425"/>
        <w:jc w:val="both"/>
        <w:rPr>
          <w:rFonts w:ascii="Arial" w:hAnsi="Arial" w:cs="Arial"/>
          <w:sz w:val="16"/>
        </w:rPr>
      </w:pPr>
      <w:r w:rsidRPr="00C42ED4">
        <w:rPr>
          <w:rFonts w:ascii="Arial" w:hAnsi="Arial" w:cs="Arial"/>
          <w:sz w:val="16"/>
        </w:rPr>
        <w:t xml:space="preserve">* </w:t>
      </w:r>
      <w:r w:rsidR="00C42ED4" w:rsidRPr="00C42ED4">
        <w:rPr>
          <w:rFonts w:ascii="Arial" w:hAnsi="Arial" w:cs="Arial"/>
          <w:sz w:val="16"/>
        </w:rPr>
        <w:tab/>
      </w:r>
      <w:r w:rsidRPr="00C42ED4">
        <w:rPr>
          <w:rFonts w:ascii="Arial" w:hAnsi="Arial" w:cs="Arial"/>
          <w:sz w:val="16"/>
        </w:rPr>
        <w:t>Total de agua producida por los sistemas operados por la CAASD, no incluye la explotación en forma privada.</w:t>
      </w:r>
    </w:p>
    <w:p w:rsidR="00FD584E" w:rsidRPr="00C42ED4" w:rsidRDefault="00FD584E" w:rsidP="00C42ED4">
      <w:pPr>
        <w:ind w:left="1275" w:hanging="425"/>
        <w:jc w:val="both"/>
        <w:rPr>
          <w:rFonts w:ascii="Arial" w:hAnsi="Arial" w:cs="Arial"/>
          <w:sz w:val="16"/>
        </w:rPr>
      </w:pPr>
      <w:r w:rsidRPr="00C42ED4">
        <w:rPr>
          <w:rFonts w:ascii="Arial" w:hAnsi="Arial" w:cs="Arial"/>
          <w:sz w:val="16"/>
        </w:rPr>
        <w:t xml:space="preserve">** </w:t>
      </w:r>
      <w:r w:rsidR="00C42ED4" w:rsidRPr="00C42ED4">
        <w:rPr>
          <w:rFonts w:ascii="Arial" w:hAnsi="Arial" w:cs="Arial"/>
          <w:sz w:val="16"/>
        </w:rPr>
        <w:tab/>
      </w:r>
      <w:r w:rsidRPr="00C42ED4">
        <w:rPr>
          <w:rFonts w:ascii="Arial" w:hAnsi="Arial" w:cs="Arial"/>
          <w:sz w:val="16"/>
        </w:rPr>
        <w:t>El índice de potabilidad (Negatividad de Coliformes Totales) se calcula sobre la base del número de tubos positivos (no representa el promedio).</w:t>
      </w:r>
    </w:p>
    <w:p w:rsidR="00FD584E" w:rsidRPr="00C42ED4" w:rsidRDefault="00FD584E" w:rsidP="00C42ED4">
      <w:pPr>
        <w:ind w:left="708"/>
        <w:jc w:val="both"/>
        <w:rPr>
          <w:rFonts w:ascii="Arial" w:hAnsi="Arial" w:cs="Arial"/>
          <w:sz w:val="18"/>
        </w:rPr>
      </w:pPr>
      <w:r w:rsidRPr="00C42ED4">
        <w:rPr>
          <w:rFonts w:ascii="Arial" w:hAnsi="Arial" w:cs="Arial"/>
          <w:sz w:val="18"/>
        </w:rPr>
        <w:t>Definiciones Utilizadas:</w:t>
      </w:r>
    </w:p>
    <w:p w:rsidR="00FD584E" w:rsidRPr="00C42ED4" w:rsidRDefault="00FD584E" w:rsidP="00C42ED4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 w:val="16"/>
        </w:rPr>
      </w:pPr>
      <w:r w:rsidRPr="00C42ED4">
        <w:rPr>
          <w:rFonts w:ascii="Arial" w:hAnsi="Arial" w:cs="Arial"/>
          <w:sz w:val="16"/>
        </w:rPr>
        <w:t>Producción de Agua: Millones de Galones Diarios Promedio producido en el mes.</w:t>
      </w:r>
    </w:p>
    <w:p w:rsidR="00FD584E" w:rsidRPr="00C42ED4" w:rsidRDefault="00FD584E" w:rsidP="00C42ED4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 w:val="16"/>
        </w:rPr>
      </w:pPr>
      <w:r w:rsidRPr="00C42ED4">
        <w:rPr>
          <w:rFonts w:ascii="Arial" w:hAnsi="Arial" w:cs="Arial"/>
          <w:sz w:val="16"/>
        </w:rPr>
        <w:t>Índice de Potabilidad: Porcentaje de muestras negativas a la presencia de coliformes fecales durante el mes. (Normas: Agua apta para consumo el índice de potabilidad &gt;95.0%)</w:t>
      </w:r>
    </w:p>
    <w:p w:rsidR="00FD584E" w:rsidRPr="00C42ED4" w:rsidRDefault="00FD584E" w:rsidP="00C42ED4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 w:val="16"/>
        </w:rPr>
      </w:pPr>
      <w:r w:rsidRPr="00C42ED4">
        <w:rPr>
          <w:rFonts w:ascii="Arial" w:hAnsi="Arial" w:cs="Arial"/>
          <w:sz w:val="16"/>
        </w:rPr>
        <w:t>Usuarios Activos: No. de clientes catastrados a los que se les facturan los servicios.</w:t>
      </w:r>
    </w:p>
    <w:p w:rsidR="00ED30E7" w:rsidRPr="00C42ED4" w:rsidRDefault="00ED30E7" w:rsidP="00C42ED4">
      <w:pPr>
        <w:ind w:left="142"/>
        <w:jc w:val="both"/>
        <w:rPr>
          <w:rFonts w:ascii="Arial" w:hAnsi="Arial" w:cs="Arial"/>
          <w:sz w:val="20"/>
        </w:rPr>
      </w:pPr>
    </w:p>
    <w:p w:rsidR="00373176" w:rsidRPr="00C42ED4" w:rsidRDefault="00373176" w:rsidP="00373176">
      <w:pPr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sz w:val="32"/>
          <w:lang w:val="es-ES"/>
        </w:rPr>
        <w:lastRenderedPageBreak/>
        <w:t xml:space="preserve">Gestión </w:t>
      </w:r>
      <w:r>
        <w:rPr>
          <w:rFonts w:ascii="Arial" w:hAnsi="Arial" w:cs="Arial"/>
          <w:b/>
          <w:sz w:val="32"/>
          <w:lang w:val="es-ES"/>
        </w:rPr>
        <w:t>Comercial</w:t>
      </w:r>
    </w:p>
    <w:p w:rsidR="00D60DFA" w:rsidRPr="00C42ED4" w:rsidRDefault="00D60DFA" w:rsidP="00913ACE">
      <w:pPr>
        <w:jc w:val="both"/>
        <w:rPr>
          <w:rFonts w:ascii="Arial" w:hAnsi="Arial" w:cs="Arial"/>
        </w:rPr>
      </w:pPr>
    </w:p>
    <w:p w:rsidR="00844BBD" w:rsidRPr="002C246D" w:rsidRDefault="00844BBD" w:rsidP="00913ACE">
      <w:pPr>
        <w:spacing w:line="276" w:lineRule="auto"/>
        <w:ind w:left="360"/>
        <w:jc w:val="both"/>
        <w:rPr>
          <w:rFonts w:ascii="Arial" w:hAnsi="Arial" w:cs="Arial"/>
          <w:sz w:val="28"/>
          <w:lang w:val="es-ES"/>
        </w:rPr>
      </w:pPr>
      <w:r w:rsidRPr="002C246D">
        <w:rPr>
          <w:rFonts w:ascii="Arial" w:hAnsi="Arial" w:cs="Arial"/>
          <w:sz w:val="28"/>
          <w:lang w:val="es-ES"/>
        </w:rPr>
        <w:t xml:space="preserve">Los clientes comerciales activos </w:t>
      </w:r>
      <w:r w:rsidR="00373176" w:rsidRPr="002C246D">
        <w:rPr>
          <w:rFonts w:ascii="Arial" w:hAnsi="Arial" w:cs="Arial"/>
          <w:sz w:val="28"/>
          <w:lang w:val="es-ES"/>
        </w:rPr>
        <w:t xml:space="preserve">del servicio </w:t>
      </w:r>
      <w:r w:rsidRPr="002C246D">
        <w:rPr>
          <w:rFonts w:ascii="Arial" w:hAnsi="Arial" w:cs="Arial"/>
          <w:sz w:val="28"/>
          <w:lang w:val="es-ES"/>
        </w:rPr>
        <w:t>de</w:t>
      </w:r>
      <w:r w:rsidR="00373176" w:rsidRPr="002C246D">
        <w:rPr>
          <w:rFonts w:ascii="Arial" w:hAnsi="Arial" w:cs="Arial"/>
          <w:sz w:val="28"/>
          <w:lang w:val="es-ES"/>
        </w:rPr>
        <w:t xml:space="preserve"> suministro de</w:t>
      </w:r>
      <w:r w:rsidRPr="002C246D">
        <w:rPr>
          <w:rFonts w:ascii="Arial" w:hAnsi="Arial" w:cs="Arial"/>
          <w:sz w:val="28"/>
          <w:lang w:val="es-ES"/>
        </w:rPr>
        <w:t xml:space="preserve"> agua</w:t>
      </w:r>
      <w:r w:rsidR="00373176" w:rsidRPr="002C246D">
        <w:rPr>
          <w:rFonts w:ascii="Arial" w:hAnsi="Arial" w:cs="Arial"/>
          <w:sz w:val="28"/>
          <w:lang w:val="es-ES"/>
        </w:rPr>
        <w:t xml:space="preserve"> potable, </w:t>
      </w:r>
      <w:r w:rsidRPr="002C246D">
        <w:rPr>
          <w:rFonts w:ascii="Arial" w:hAnsi="Arial" w:cs="Arial"/>
          <w:sz w:val="28"/>
          <w:lang w:val="es-ES"/>
        </w:rPr>
        <w:t xml:space="preserve"> ascendieron a unos 377,730 </w:t>
      </w:r>
      <w:r w:rsidR="00CE14C7" w:rsidRPr="002C246D">
        <w:rPr>
          <w:rFonts w:ascii="Arial" w:hAnsi="Arial" w:cs="Arial"/>
          <w:sz w:val="28"/>
          <w:lang w:val="es-ES"/>
        </w:rPr>
        <w:t>en el mes de junio mostrando un incremento de 1,606 nuevos clientes comparado contra el cierre del trimestre anterior (376,124), en tanto que</w:t>
      </w:r>
      <w:r w:rsidRPr="002C246D">
        <w:rPr>
          <w:rFonts w:ascii="Arial" w:hAnsi="Arial" w:cs="Arial"/>
          <w:sz w:val="28"/>
          <w:lang w:val="es-ES"/>
        </w:rPr>
        <w:t xml:space="preserve"> los </w:t>
      </w:r>
      <w:r w:rsidR="00CE14C7" w:rsidRPr="002C246D">
        <w:rPr>
          <w:rFonts w:ascii="Arial" w:hAnsi="Arial" w:cs="Arial"/>
          <w:sz w:val="28"/>
          <w:lang w:val="es-ES"/>
        </w:rPr>
        <w:t xml:space="preserve">clientes </w:t>
      </w:r>
      <w:r w:rsidRPr="002C246D">
        <w:rPr>
          <w:rFonts w:ascii="Arial" w:hAnsi="Arial" w:cs="Arial"/>
          <w:sz w:val="28"/>
          <w:lang w:val="es-ES"/>
        </w:rPr>
        <w:t>de alcantarillado</w:t>
      </w:r>
      <w:r w:rsidR="00CE14C7" w:rsidRPr="002C246D">
        <w:rPr>
          <w:rFonts w:ascii="Arial" w:hAnsi="Arial" w:cs="Arial"/>
          <w:sz w:val="28"/>
          <w:lang w:val="es-ES"/>
        </w:rPr>
        <w:t xml:space="preserve"> sanitario terminaron con unos </w:t>
      </w:r>
      <w:r w:rsidRPr="002C246D">
        <w:rPr>
          <w:rFonts w:ascii="Arial" w:hAnsi="Arial" w:cs="Arial"/>
          <w:sz w:val="28"/>
          <w:lang w:val="es-ES"/>
        </w:rPr>
        <w:t xml:space="preserve">135,435 </w:t>
      </w:r>
      <w:r w:rsidR="00CE14C7" w:rsidRPr="002C246D">
        <w:rPr>
          <w:rFonts w:ascii="Arial" w:hAnsi="Arial" w:cs="Arial"/>
          <w:sz w:val="28"/>
          <w:lang w:val="es-ES"/>
        </w:rPr>
        <w:t>traduciéndose esto en uno 5,575 nuevos clientes.</w:t>
      </w:r>
    </w:p>
    <w:p w:rsidR="00844BBD" w:rsidRPr="002C246D" w:rsidRDefault="00844BBD" w:rsidP="00913ACE">
      <w:pPr>
        <w:jc w:val="both"/>
        <w:rPr>
          <w:sz w:val="28"/>
        </w:rPr>
      </w:pPr>
    </w:p>
    <w:p w:rsidR="00FD584E" w:rsidRPr="00913ACE" w:rsidRDefault="00ED30E7" w:rsidP="00913ACE">
      <w:pPr>
        <w:jc w:val="both"/>
        <w:rPr>
          <w:rFonts w:ascii="Arial" w:hAnsi="Arial" w:cs="Arial"/>
        </w:rPr>
      </w:pPr>
      <w:r w:rsidRPr="00913ACE">
        <w:rPr>
          <w:rFonts w:ascii="Arial" w:hAnsi="Arial" w:cs="Arial"/>
        </w:rPr>
        <w:t>Cuadro no. 3</w:t>
      </w:r>
    </w:p>
    <w:p w:rsidR="00ED30E7" w:rsidRPr="00913ACE" w:rsidRDefault="00ED30E7" w:rsidP="00913ACE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913ACE">
        <w:fldChar w:fldCharType="begin"/>
      </w:r>
      <w:r w:rsidRPr="00913ACE">
        <w:instrText xml:space="preserve"> LINK Excel.Sheet.12 "Libro1" "Hoja1!F18C7:F24C10" \a \f 4 \h  \* MERGEFORMAT </w:instrText>
      </w:r>
      <w:r w:rsidRPr="00913ACE">
        <w:fldChar w:fldCharType="separate"/>
      </w:r>
    </w:p>
    <w:tbl>
      <w:tblPr>
        <w:tblW w:w="7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1904"/>
        <w:gridCol w:w="1701"/>
        <w:gridCol w:w="1640"/>
      </w:tblGrid>
      <w:tr w:rsidR="00ED30E7" w:rsidRPr="00913ACE" w:rsidTr="00373176">
        <w:trPr>
          <w:divId w:val="920602311"/>
          <w:trHeight w:val="315"/>
          <w:jc w:val="center"/>
        </w:trPr>
        <w:tc>
          <w:tcPr>
            <w:tcW w:w="2006" w:type="dxa"/>
            <w:vMerge w:val="restart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5245" w:type="dxa"/>
            <w:gridSpan w:val="3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33CCCC"/>
            <w:vAlign w:val="bottom"/>
            <w:hideMark/>
          </w:tcPr>
          <w:p w:rsidR="00ED30E7" w:rsidRPr="00913ACE" w:rsidRDefault="00ED30E7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Usuarios Activos Agua Potable</w:t>
            </w:r>
          </w:p>
        </w:tc>
      </w:tr>
      <w:tr w:rsidR="00ED30E7" w:rsidRPr="00913ACE" w:rsidTr="00373176">
        <w:trPr>
          <w:divId w:val="920602311"/>
          <w:trHeight w:val="347"/>
          <w:jc w:val="center"/>
        </w:trPr>
        <w:tc>
          <w:tcPr>
            <w:tcW w:w="2006" w:type="dxa"/>
            <w:vMerge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bottom"/>
            <w:hideMark/>
          </w:tcPr>
          <w:p w:rsidR="00ED30E7" w:rsidRPr="00913ACE" w:rsidRDefault="00ED30E7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bottom"/>
            <w:hideMark/>
          </w:tcPr>
          <w:p w:rsidR="00ED30E7" w:rsidRPr="00913ACE" w:rsidRDefault="00ED30E7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33CCCC"/>
              <w:right w:val="nil"/>
            </w:tcBorders>
            <w:shd w:val="clear" w:color="000000" w:fill="33CCCC"/>
            <w:vAlign w:val="bottom"/>
            <w:hideMark/>
          </w:tcPr>
          <w:p w:rsidR="00ED30E7" w:rsidRPr="00913ACE" w:rsidRDefault="00ED30E7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ED30E7" w:rsidRPr="00913ACE" w:rsidTr="00373176">
        <w:trPr>
          <w:divId w:val="920602311"/>
          <w:trHeight w:val="330"/>
          <w:jc w:val="center"/>
        </w:trPr>
        <w:tc>
          <w:tcPr>
            <w:tcW w:w="2006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99,907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100,017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100,232</w:t>
            </w:r>
          </w:p>
        </w:tc>
      </w:tr>
      <w:tr w:rsidR="00ED30E7" w:rsidRPr="00913ACE" w:rsidTr="00373176">
        <w:trPr>
          <w:divId w:val="920602311"/>
          <w:trHeight w:val="330"/>
          <w:jc w:val="center"/>
        </w:trPr>
        <w:tc>
          <w:tcPr>
            <w:tcW w:w="2006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1904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117,284</w:t>
            </w:r>
          </w:p>
        </w:tc>
        <w:tc>
          <w:tcPr>
            <w:tcW w:w="1701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117,389</w:t>
            </w:r>
          </w:p>
        </w:tc>
        <w:tc>
          <w:tcPr>
            <w:tcW w:w="1640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117,491</w:t>
            </w:r>
          </w:p>
        </w:tc>
      </w:tr>
      <w:tr w:rsidR="00ED30E7" w:rsidRPr="00913ACE" w:rsidTr="00373176">
        <w:trPr>
          <w:divId w:val="920602311"/>
          <w:trHeight w:val="330"/>
          <w:jc w:val="center"/>
        </w:trPr>
        <w:tc>
          <w:tcPr>
            <w:tcW w:w="2006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119,793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119,879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120,071</w:t>
            </w:r>
          </w:p>
        </w:tc>
      </w:tr>
      <w:tr w:rsidR="00ED30E7" w:rsidRPr="00913ACE" w:rsidTr="00373176">
        <w:trPr>
          <w:divId w:val="920602311"/>
          <w:trHeight w:val="330"/>
          <w:jc w:val="center"/>
        </w:trPr>
        <w:tc>
          <w:tcPr>
            <w:tcW w:w="2006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1904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39,595</w:t>
            </w:r>
          </w:p>
        </w:tc>
        <w:tc>
          <w:tcPr>
            <w:tcW w:w="1701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39,721</w:t>
            </w:r>
          </w:p>
        </w:tc>
        <w:tc>
          <w:tcPr>
            <w:tcW w:w="1640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39,936</w:t>
            </w:r>
          </w:p>
        </w:tc>
      </w:tr>
      <w:tr w:rsidR="00ED30E7" w:rsidRPr="00913ACE" w:rsidTr="00373176">
        <w:trPr>
          <w:divId w:val="920602311"/>
          <w:trHeight w:val="330"/>
          <w:jc w:val="center"/>
        </w:trPr>
        <w:tc>
          <w:tcPr>
            <w:tcW w:w="2006" w:type="dxa"/>
            <w:tcBorders>
              <w:top w:val="nil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376,579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377,006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ED30E7" w:rsidRPr="00913ACE" w:rsidRDefault="00ED30E7" w:rsidP="0037317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377,730</w:t>
            </w:r>
          </w:p>
        </w:tc>
      </w:tr>
    </w:tbl>
    <w:p w:rsidR="00FD584E" w:rsidRPr="00913ACE" w:rsidRDefault="00ED30E7" w:rsidP="00373176">
      <w:r w:rsidRPr="00913ACE">
        <w:fldChar w:fldCharType="end"/>
      </w:r>
      <w:r w:rsidR="00373176">
        <w:tab/>
      </w:r>
      <w:r w:rsidRPr="00913ACE">
        <w:t xml:space="preserve">Fuente: Empresas Comercializadoras </w:t>
      </w:r>
    </w:p>
    <w:p w:rsidR="00373176" w:rsidRDefault="00373176" w:rsidP="00913ACE">
      <w:pPr>
        <w:jc w:val="both"/>
        <w:rPr>
          <w:rFonts w:ascii="Arial" w:hAnsi="Arial" w:cs="Arial"/>
        </w:rPr>
      </w:pPr>
    </w:p>
    <w:p w:rsidR="00ED30E7" w:rsidRPr="00913ACE" w:rsidRDefault="00ED30E7" w:rsidP="00913ACE">
      <w:pPr>
        <w:jc w:val="both"/>
        <w:rPr>
          <w:rFonts w:ascii="Arial" w:hAnsi="Arial" w:cs="Arial"/>
        </w:rPr>
      </w:pPr>
      <w:r w:rsidRPr="00913ACE">
        <w:rPr>
          <w:rFonts w:ascii="Arial" w:hAnsi="Arial" w:cs="Arial"/>
        </w:rPr>
        <w:t xml:space="preserve">Cuadro no. 4 </w:t>
      </w:r>
    </w:p>
    <w:p w:rsidR="00D60DFA" w:rsidRPr="00913ACE" w:rsidRDefault="00D60DFA" w:rsidP="00913ACE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913ACE">
        <w:fldChar w:fldCharType="begin"/>
      </w:r>
      <w:r w:rsidRPr="00913ACE">
        <w:instrText xml:space="preserve"> LINK Excel.Sheet.12 "Libro1" "Hoja1!F26C7:F32C10" \a \f 4 \h  \* MERGEFORMAT </w:instrText>
      </w:r>
      <w:r w:rsidRPr="00913ACE">
        <w:fldChar w:fldCharType="separate"/>
      </w:r>
    </w:p>
    <w:tbl>
      <w:tblPr>
        <w:tblW w:w="7063" w:type="dxa"/>
        <w:jc w:val="center"/>
        <w:tblInd w:w="-1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1842"/>
        <w:gridCol w:w="1701"/>
        <w:gridCol w:w="1546"/>
      </w:tblGrid>
      <w:tr w:rsidR="00D60DFA" w:rsidRPr="00913ACE" w:rsidTr="00373176">
        <w:trPr>
          <w:trHeight w:val="300"/>
          <w:jc w:val="center"/>
        </w:trPr>
        <w:tc>
          <w:tcPr>
            <w:tcW w:w="1974" w:type="dxa"/>
            <w:vMerge w:val="restart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5089" w:type="dxa"/>
            <w:gridSpan w:val="3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33CCCC"/>
            <w:vAlign w:val="center"/>
            <w:hideMark/>
          </w:tcPr>
          <w:p w:rsidR="00D60DFA" w:rsidRPr="00913ACE" w:rsidRDefault="00D60DFA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Usuarios Activos Alcantarillado</w:t>
            </w:r>
          </w:p>
        </w:tc>
      </w:tr>
      <w:tr w:rsidR="00D60DFA" w:rsidRPr="00913ACE" w:rsidTr="00373176">
        <w:trPr>
          <w:trHeight w:val="315"/>
          <w:jc w:val="center"/>
        </w:trPr>
        <w:tc>
          <w:tcPr>
            <w:tcW w:w="1974" w:type="dxa"/>
            <w:vMerge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D60DFA" w:rsidRPr="00913ACE" w:rsidRDefault="00D60DFA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33CCCC"/>
            <w:vAlign w:val="center"/>
            <w:hideMark/>
          </w:tcPr>
          <w:p w:rsidR="00D60DFA" w:rsidRPr="00913ACE" w:rsidRDefault="00D60DFA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33CCCC"/>
              <w:right w:val="nil"/>
            </w:tcBorders>
            <w:shd w:val="clear" w:color="000000" w:fill="33CCCC"/>
            <w:vAlign w:val="center"/>
            <w:hideMark/>
          </w:tcPr>
          <w:p w:rsidR="00D60DFA" w:rsidRPr="00913ACE" w:rsidRDefault="00D60DFA" w:rsidP="00373176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D60DFA" w:rsidRPr="00913ACE" w:rsidTr="00373176">
        <w:trPr>
          <w:trHeight w:val="330"/>
          <w:jc w:val="center"/>
        </w:trPr>
        <w:tc>
          <w:tcPr>
            <w:tcW w:w="1974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49,535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50,976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51,281</w:t>
            </w:r>
          </w:p>
        </w:tc>
      </w:tr>
      <w:tr w:rsidR="00D60DFA" w:rsidRPr="00913ACE" w:rsidTr="00373176">
        <w:trPr>
          <w:trHeight w:val="330"/>
          <w:jc w:val="center"/>
        </w:trPr>
        <w:tc>
          <w:tcPr>
            <w:tcW w:w="1974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1842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52,441</w:t>
            </w:r>
          </w:p>
        </w:tc>
        <w:tc>
          <w:tcPr>
            <w:tcW w:w="1701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53,095</w:t>
            </w:r>
          </w:p>
        </w:tc>
        <w:tc>
          <w:tcPr>
            <w:tcW w:w="1546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53,584</w:t>
            </w:r>
          </w:p>
        </w:tc>
      </w:tr>
      <w:tr w:rsidR="00D60DFA" w:rsidRPr="00913ACE" w:rsidTr="00373176">
        <w:trPr>
          <w:trHeight w:val="330"/>
          <w:jc w:val="center"/>
        </w:trPr>
        <w:tc>
          <w:tcPr>
            <w:tcW w:w="1974" w:type="dxa"/>
            <w:tcBorders>
              <w:top w:val="nil"/>
              <w:left w:val="single" w:sz="8" w:space="0" w:color="33CCCC"/>
              <w:bottom w:val="nil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23,320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23,415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23,603</w:t>
            </w:r>
          </w:p>
        </w:tc>
      </w:tr>
      <w:tr w:rsidR="00D60DFA" w:rsidRPr="00913ACE" w:rsidTr="00373176">
        <w:trPr>
          <w:trHeight w:val="330"/>
          <w:jc w:val="center"/>
        </w:trPr>
        <w:tc>
          <w:tcPr>
            <w:tcW w:w="1974" w:type="dxa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1842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6,627</w:t>
            </w:r>
          </w:p>
        </w:tc>
        <w:tc>
          <w:tcPr>
            <w:tcW w:w="1701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6,750</w:t>
            </w:r>
          </w:p>
        </w:tc>
        <w:tc>
          <w:tcPr>
            <w:tcW w:w="1546" w:type="dxa"/>
            <w:tcBorders>
              <w:top w:val="single" w:sz="8" w:space="0" w:color="33CCCC"/>
              <w:left w:val="nil"/>
              <w:bottom w:val="single" w:sz="8" w:space="0" w:color="33CCCC"/>
              <w:right w:val="single" w:sz="8" w:space="0" w:color="33CCCC"/>
            </w:tcBorders>
            <w:shd w:val="clear" w:color="000000" w:fill="FFFFFF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color w:val="000000"/>
                <w:lang w:eastAsia="es-DO"/>
              </w:rPr>
              <w:t>6,967</w:t>
            </w:r>
          </w:p>
        </w:tc>
      </w:tr>
      <w:tr w:rsidR="00D60DFA" w:rsidRPr="00913ACE" w:rsidTr="00373176">
        <w:trPr>
          <w:trHeight w:val="330"/>
          <w:jc w:val="center"/>
        </w:trPr>
        <w:tc>
          <w:tcPr>
            <w:tcW w:w="1974" w:type="dxa"/>
            <w:tcBorders>
              <w:top w:val="nil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  <w:hideMark/>
          </w:tcPr>
          <w:p w:rsidR="00D60DFA" w:rsidRPr="00913ACE" w:rsidRDefault="00D60DFA" w:rsidP="00913ACE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131,923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134,236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bottom"/>
            <w:hideMark/>
          </w:tcPr>
          <w:p w:rsidR="00D60DFA" w:rsidRPr="00913ACE" w:rsidRDefault="00D60DFA" w:rsidP="00373176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913ACE">
              <w:rPr>
                <w:rFonts w:ascii="Arial" w:hAnsi="Arial" w:cs="Arial"/>
                <w:b/>
                <w:bCs/>
                <w:color w:val="000000"/>
                <w:lang w:eastAsia="es-DO"/>
              </w:rPr>
              <w:t>135,435</w:t>
            </w:r>
          </w:p>
        </w:tc>
      </w:tr>
    </w:tbl>
    <w:p w:rsidR="00D60DFA" w:rsidRPr="00913ACE" w:rsidRDefault="00D60DFA" w:rsidP="00373176">
      <w:r w:rsidRPr="00913ACE">
        <w:fldChar w:fldCharType="end"/>
      </w:r>
      <w:r w:rsidRPr="00913ACE">
        <w:tab/>
        <w:t>Fuente: Empresas Comercializadoras</w:t>
      </w:r>
    </w:p>
    <w:p w:rsidR="00D60DFA" w:rsidRPr="00913ACE" w:rsidRDefault="00D60DFA" w:rsidP="00913ACE">
      <w:pPr>
        <w:jc w:val="both"/>
      </w:pPr>
    </w:p>
    <w:p w:rsidR="00D60DFA" w:rsidRPr="00913ACE" w:rsidRDefault="00D60DFA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D60DFA" w:rsidRPr="00913ACE" w:rsidRDefault="00D60DFA" w:rsidP="00913ACE">
      <w:pPr>
        <w:jc w:val="both"/>
      </w:pPr>
    </w:p>
    <w:p w:rsidR="00D60DFA" w:rsidRPr="00913ACE" w:rsidRDefault="00D60DFA" w:rsidP="00913ACE">
      <w:pPr>
        <w:jc w:val="both"/>
      </w:pPr>
    </w:p>
    <w:p w:rsidR="00496CE1" w:rsidRPr="00913ACE" w:rsidRDefault="00496CE1" w:rsidP="00913ACE">
      <w:pPr>
        <w:jc w:val="both"/>
      </w:pPr>
    </w:p>
    <w:p w:rsidR="00D60DFA" w:rsidRPr="00913ACE" w:rsidRDefault="00D60DFA" w:rsidP="00913ACE">
      <w:pPr>
        <w:jc w:val="both"/>
      </w:pPr>
    </w:p>
    <w:p w:rsidR="00D60DFA" w:rsidRPr="002C246D" w:rsidRDefault="00D60DFA" w:rsidP="00373176">
      <w:pPr>
        <w:rPr>
          <w:rFonts w:ascii="Arial" w:hAnsi="Arial" w:cs="Arial"/>
          <w:b/>
          <w:sz w:val="36"/>
          <w:lang w:val="es-ES"/>
        </w:rPr>
      </w:pPr>
      <w:r w:rsidRPr="002C246D">
        <w:rPr>
          <w:rFonts w:ascii="Arial" w:hAnsi="Arial" w:cs="Arial"/>
          <w:b/>
          <w:sz w:val="36"/>
          <w:lang w:val="es-ES"/>
        </w:rPr>
        <w:lastRenderedPageBreak/>
        <w:t>Informaciones de Interés Ambiental</w:t>
      </w:r>
    </w:p>
    <w:p w:rsidR="00D60DFA" w:rsidRPr="00913ACE" w:rsidRDefault="00D60DFA" w:rsidP="00913ACE">
      <w:pPr>
        <w:jc w:val="both"/>
        <w:rPr>
          <w:rFonts w:ascii="Arial" w:hAnsi="Arial" w:cs="Arial"/>
          <w:lang w:val="es-ES"/>
        </w:rPr>
      </w:pPr>
    </w:p>
    <w:p w:rsidR="00D60DFA" w:rsidRPr="002C246D" w:rsidRDefault="00D60DFA" w:rsidP="004901CD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lang w:val="es-ES"/>
        </w:rPr>
      </w:pPr>
      <w:r w:rsidRPr="002C246D">
        <w:rPr>
          <w:rFonts w:ascii="Arial" w:hAnsi="Arial" w:cs="Arial"/>
          <w:b/>
          <w:sz w:val="28"/>
          <w:lang w:val="es-ES"/>
        </w:rPr>
        <w:t xml:space="preserve">Población beneficiada con el agua suministrada: </w:t>
      </w:r>
      <w:r w:rsidR="004901CD" w:rsidRPr="002C246D">
        <w:rPr>
          <w:rFonts w:ascii="Arial" w:hAnsi="Arial" w:cs="Arial"/>
          <w:b/>
          <w:sz w:val="28"/>
          <w:lang w:val="es-ES"/>
        </w:rPr>
        <w:t>3</w:t>
      </w:r>
      <w:proofErr w:type="gramStart"/>
      <w:r w:rsidR="004901CD" w:rsidRPr="002C246D">
        <w:rPr>
          <w:rFonts w:ascii="Arial" w:hAnsi="Arial" w:cs="Arial"/>
          <w:b/>
          <w:sz w:val="28"/>
          <w:lang w:val="es-ES"/>
        </w:rPr>
        <w:t>,328,518</w:t>
      </w:r>
      <w:proofErr w:type="gramEnd"/>
      <w:r w:rsidR="004901CD" w:rsidRPr="002C246D">
        <w:rPr>
          <w:rFonts w:ascii="Arial" w:hAnsi="Arial" w:cs="Arial"/>
          <w:b/>
          <w:sz w:val="28"/>
          <w:lang w:val="es-ES"/>
        </w:rPr>
        <w:t xml:space="preserve"> </w:t>
      </w:r>
      <w:r w:rsidRPr="002C246D">
        <w:rPr>
          <w:rFonts w:ascii="Arial" w:hAnsi="Arial" w:cs="Arial"/>
          <w:b/>
          <w:sz w:val="28"/>
          <w:lang w:val="es-ES"/>
        </w:rPr>
        <w:t>habitantes.</w:t>
      </w:r>
    </w:p>
    <w:p w:rsidR="00D60DFA" w:rsidRPr="00913ACE" w:rsidRDefault="00D60DFA" w:rsidP="00913ACE">
      <w:pPr>
        <w:jc w:val="both"/>
        <w:rPr>
          <w:rFonts w:ascii="Arial" w:hAnsi="Arial" w:cs="Arial"/>
          <w:b/>
          <w:lang w:val="es-ES"/>
        </w:rPr>
      </w:pPr>
    </w:p>
    <w:p w:rsidR="00D60DFA" w:rsidRPr="002C246D" w:rsidRDefault="00D60DFA" w:rsidP="00913ACE">
      <w:pPr>
        <w:jc w:val="both"/>
        <w:rPr>
          <w:rFonts w:ascii="Arial" w:hAnsi="Arial" w:cs="Arial"/>
          <w:sz w:val="26"/>
          <w:szCs w:val="26"/>
        </w:rPr>
      </w:pPr>
      <w:r w:rsidRPr="002C246D">
        <w:rPr>
          <w:rFonts w:ascii="Arial" w:hAnsi="Arial" w:cs="Arial"/>
          <w:sz w:val="26"/>
          <w:szCs w:val="26"/>
          <w:lang w:val="es-ES"/>
        </w:rPr>
        <w:t xml:space="preserve">Según datos de los Censos de Población y Vivienda del 2010, la población del Distrito Nacional y la Provincia Santo Domingo (excluyendo el Municipio de Boca Chica) es de 3,197,391 habitantes; en la actualidad se estima una población de    </w:t>
      </w:r>
      <w:r w:rsidR="00645D11" w:rsidRPr="002C246D">
        <w:rPr>
          <w:rFonts w:ascii="Arial" w:hAnsi="Arial" w:cs="Arial"/>
          <w:sz w:val="26"/>
          <w:szCs w:val="26"/>
          <w:lang w:val="es-ES"/>
        </w:rPr>
        <w:t xml:space="preserve"> 3,638</w:t>
      </w:r>
      <w:r w:rsidRPr="002C246D">
        <w:rPr>
          <w:rFonts w:ascii="Arial" w:hAnsi="Arial" w:cs="Arial"/>
          <w:sz w:val="26"/>
          <w:szCs w:val="26"/>
          <w:lang w:val="es-ES"/>
        </w:rPr>
        <w:t>,</w:t>
      </w:r>
      <w:r w:rsidR="00645D11" w:rsidRPr="002C246D">
        <w:rPr>
          <w:rFonts w:ascii="Arial" w:hAnsi="Arial" w:cs="Arial"/>
          <w:sz w:val="26"/>
          <w:szCs w:val="26"/>
          <w:lang w:val="es-ES"/>
        </w:rPr>
        <w:t>918</w:t>
      </w:r>
      <w:r w:rsidRPr="002C246D">
        <w:rPr>
          <w:rStyle w:val="Refdenotaalpie"/>
          <w:rFonts w:ascii="Arial" w:hAnsi="Arial" w:cs="Arial"/>
          <w:sz w:val="26"/>
          <w:szCs w:val="26"/>
          <w:lang w:val="es-ES"/>
        </w:rPr>
        <w:footnoteReference w:id="1"/>
      </w:r>
      <w:r w:rsidRPr="002C246D">
        <w:rPr>
          <w:rFonts w:ascii="Arial" w:hAnsi="Arial" w:cs="Arial"/>
          <w:sz w:val="26"/>
          <w:szCs w:val="26"/>
          <w:lang w:val="es-ES"/>
        </w:rPr>
        <w:t xml:space="preserve">  en la cual de acuerdo a análisis del comportamiento del abastecimiento de agua a través del acueducto según datos del censo 2010 y el crecimiento habitacional la cobertura de agua potable por fácil acceso (dentro y fuera de la vivienda más llave pública) es de 91.47% (ENOGHAR,2015) que represen</w:t>
      </w:r>
      <w:bookmarkStart w:id="1" w:name="_Hlk510783825"/>
      <w:r w:rsidR="00645D11" w:rsidRPr="002C246D">
        <w:rPr>
          <w:rFonts w:ascii="Arial" w:hAnsi="Arial" w:cs="Arial"/>
          <w:sz w:val="26"/>
          <w:szCs w:val="26"/>
          <w:lang w:val="es-ES"/>
        </w:rPr>
        <w:t>ta en la actualidad un total   3,328,518</w:t>
      </w:r>
      <w:r w:rsidR="00645D11" w:rsidRPr="002C246D">
        <w:rPr>
          <w:rStyle w:val="Refdenotaalpie"/>
          <w:rFonts w:ascii="Arial" w:hAnsi="Arial" w:cs="Arial"/>
          <w:sz w:val="26"/>
          <w:szCs w:val="26"/>
          <w:lang w:val="es-ES"/>
        </w:rPr>
        <w:footnoteReference w:id="2"/>
      </w:r>
      <w:r w:rsidR="00645D11" w:rsidRPr="002C246D">
        <w:rPr>
          <w:rFonts w:ascii="Arial" w:hAnsi="Arial" w:cs="Arial"/>
          <w:sz w:val="26"/>
          <w:szCs w:val="26"/>
          <w:lang w:val="es-ES"/>
        </w:rPr>
        <w:t xml:space="preserve"> </w:t>
      </w:r>
      <w:r w:rsidRPr="002C246D">
        <w:rPr>
          <w:rFonts w:ascii="Arial" w:hAnsi="Arial" w:cs="Arial"/>
          <w:sz w:val="26"/>
          <w:szCs w:val="26"/>
          <w:lang w:val="es-ES"/>
        </w:rPr>
        <w:t>habitantes</w:t>
      </w:r>
      <w:bookmarkEnd w:id="1"/>
      <w:r w:rsidR="00645D11" w:rsidRPr="002C246D">
        <w:rPr>
          <w:rFonts w:ascii="Arial" w:hAnsi="Arial" w:cs="Arial"/>
          <w:sz w:val="26"/>
          <w:szCs w:val="26"/>
          <w:lang w:val="es-ES"/>
        </w:rPr>
        <w:t>.</w:t>
      </w:r>
    </w:p>
    <w:p w:rsidR="00D60DFA" w:rsidRPr="002C246D" w:rsidRDefault="00D60DFA" w:rsidP="00913ACE">
      <w:pPr>
        <w:jc w:val="both"/>
        <w:rPr>
          <w:rFonts w:ascii="Arial" w:hAnsi="Arial" w:cs="Arial"/>
          <w:sz w:val="26"/>
          <w:szCs w:val="26"/>
        </w:rPr>
      </w:pPr>
    </w:p>
    <w:p w:rsidR="00645D11" w:rsidRPr="002C246D" w:rsidRDefault="00645D11" w:rsidP="00913ACE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lang w:val="es-ES"/>
        </w:rPr>
      </w:pPr>
      <w:r w:rsidRPr="002C246D">
        <w:rPr>
          <w:rFonts w:ascii="Arial" w:hAnsi="Arial" w:cs="Arial"/>
          <w:b/>
          <w:sz w:val="28"/>
          <w:lang w:val="es-ES"/>
        </w:rPr>
        <w:t>Tipos de Fuentes para los Sistemas de Producción más Importantes y Cuencas Hidrográficas a las que pertenecen:</w:t>
      </w:r>
      <w:r w:rsidRPr="002C246D">
        <w:rPr>
          <w:rFonts w:ascii="Arial" w:hAnsi="Arial" w:cs="Arial"/>
          <w:sz w:val="28"/>
          <w:lang w:val="es-ES"/>
        </w:rPr>
        <w:fldChar w:fldCharType="begin"/>
      </w:r>
      <w:r w:rsidRPr="002C246D">
        <w:rPr>
          <w:rFonts w:ascii="Arial" w:hAnsi="Arial" w:cs="Arial"/>
          <w:sz w:val="28"/>
          <w:lang w:val="es-ES"/>
        </w:rPr>
        <w:instrText xml:space="preserve"> LINK </w:instrText>
      </w:r>
      <w:r w:rsidR="00844BBD" w:rsidRPr="002C246D">
        <w:rPr>
          <w:rFonts w:ascii="Arial" w:hAnsi="Arial" w:cs="Arial"/>
          <w:sz w:val="28"/>
          <w:lang w:val="es-ES"/>
        </w:rPr>
        <w:instrText xml:space="preserve">Excel.Sheet.8 "C:\\Users\\juan.pascual\\Documents\\CAASD\\2018\\INDICADORES 2015-proceso.xls" "Tablas para informe!F3C8:F22C11" </w:instrText>
      </w:r>
      <w:r w:rsidRPr="002C246D">
        <w:rPr>
          <w:rFonts w:ascii="Arial" w:hAnsi="Arial" w:cs="Arial"/>
          <w:sz w:val="28"/>
          <w:lang w:val="es-ES"/>
        </w:rPr>
        <w:instrText xml:space="preserve">\a \f 4 \h  \* MERGEFORMAT </w:instrText>
      </w:r>
      <w:r w:rsidRPr="002C246D">
        <w:rPr>
          <w:rFonts w:ascii="Arial" w:hAnsi="Arial" w:cs="Arial"/>
          <w:sz w:val="28"/>
          <w:lang w:val="es-ES"/>
        </w:rPr>
        <w:fldChar w:fldCharType="separate"/>
      </w:r>
    </w:p>
    <w:p w:rsidR="00645D11" w:rsidRPr="00913ACE" w:rsidRDefault="00645D11" w:rsidP="007C1520">
      <w:pPr>
        <w:jc w:val="center"/>
        <w:rPr>
          <w:rFonts w:ascii="Arial" w:hAnsi="Arial" w:cs="Arial"/>
          <w:lang w:eastAsia="es-DO"/>
        </w:rPr>
      </w:pPr>
      <w:r w:rsidRPr="002C246D">
        <w:rPr>
          <w:rFonts w:ascii="Arial" w:hAnsi="Arial" w:cs="Arial"/>
          <w:sz w:val="28"/>
          <w:lang w:val="es-ES"/>
        </w:rPr>
        <w:fldChar w:fldCharType="end"/>
      </w:r>
      <w:r w:rsidRPr="00913ACE">
        <w:rPr>
          <w:rFonts w:ascii="Arial" w:hAnsi="Arial" w:cs="Arial"/>
          <w:lang w:val="es-ES"/>
        </w:rPr>
        <w:fldChar w:fldCharType="begin"/>
      </w:r>
      <w:r w:rsidRPr="00913ACE">
        <w:rPr>
          <w:rFonts w:ascii="Arial" w:hAnsi="Arial" w:cs="Arial"/>
          <w:lang w:val="es-ES"/>
        </w:rPr>
        <w:instrText xml:space="preserve"> LINK </w:instrText>
      </w:r>
      <w:r w:rsidR="00844BBD" w:rsidRPr="00913ACE">
        <w:rPr>
          <w:rFonts w:ascii="Arial" w:hAnsi="Arial" w:cs="Arial"/>
          <w:lang w:val="es-ES"/>
        </w:rPr>
        <w:instrText xml:space="preserve">Excel.Sheet.8 "C:\\Users\\juan.pascual\\Documents\\CAASD\\2018\\INDICADORES 2015-proceso.xls" "Tablas para informe!F3C8:F22C11" </w:instrText>
      </w:r>
      <w:r w:rsidRPr="00913ACE">
        <w:rPr>
          <w:rFonts w:ascii="Arial" w:hAnsi="Arial" w:cs="Arial"/>
          <w:lang w:val="es-ES"/>
        </w:rPr>
        <w:instrText xml:space="preserve">\a \f 4 \h  \* MERGEFORMAT </w:instrText>
      </w:r>
      <w:r w:rsidRPr="00913ACE">
        <w:rPr>
          <w:rFonts w:ascii="Arial" w:hAnsi="Arial" w:cs="Arial"/>
          <w:lang w:val="es-ES"/>
        </w:rPr>
        <w:fldChar w:fldCharType="separate"/>
      </w:r>
    </w:p>
    <w:tbl>
      <w:tblPr>
        <w:tblpPr w:leftFromText="141" w:rightFromText="141" w:vertAnchor="text" w:tblpXSpec="center" w:tblpY="1"/>
        <w:tblOverlap w:val="never"/>
        <w:tblW w:w="7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1580"/>
        <w:gridCol w:w="1580"/>
        <w:gridCol w:w="1580"/>
      </w:tblGrid>
      <w:tr w:rsidR="00645D11" w:rsidRPr="00913ACE" w:rsidTr="007C1520">
        <w:trPr>
          <w:trHeight w:val="375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645D11" w:rsidRPr="007C1520" w:rsidRDefault="007C1520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 xml:space="preserve">SISTEMA DE </w:t>
            </w:r>
            <w:r w:rsidR="00645D11" w:rsidRPr="007C1520"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>ABASTECIMIENTO /</w:t>
            </w:r>
          </w:p>
        </w:tc>
        <w:tc>
          <w:tcPr>
            <w:tcW w:w="1580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auto" w:fill="333399"/>
            <w:vAlign w:val="center"/>
            <w:hideMark/>
          </w:tcPr>
          <w:p w:rsidR="00645D11" w:rsidRPr="007C1520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>CAPACIDAD  NOMINAL M</w:t>
            </w:r>
            <w:r w:rsidRPr="007C1520">
              <w:rPr>
                <w:rFonts w:ascii="Arial" w:hAnsi="Arial" w:cs="Arial"/>
                <w:b/>
                <w:bCs/>
                <w:color w:val="FFFFFF"/>
                <w:sz w:val="20"/>
                <w:vertAlign w:val="superscript"/>
                <w:lang w:eastAsia="es-DO"/>
              </w:rPr>
              <w:t>3</w:t>
            </w:r>
            <w:r w:rsidRPr="007C1520"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>/S</w:t>
            </w:r>
          </w:p>
        </w:tc>
        <w:tc>
          <w:tcPr>
            <w:tcW w:w="1580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auto" w:fill="333399"/>
            <w:vAlign w:val="center"/>
            <w:hideMark/>
          </w:tcPr>
          <w:p w:rsidR="00645D11" w:rsidRPr="007C1520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>CAPACIDAD NOMINAL MGD</w:t>
            </w:r>
          </w:p>
        </w:tc>
        <w:tc>
          <w:tcPr>
            <w:tcW w:w="1580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645D11" w:rsidRPr="007C1520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>CAPACIDAD PROMEDIO MGD</w:t>
            </w:r>
          </w:p>
        </w:tc>
      </w:tr>
      <w:tr w:rsidR="00645D11" w:rsidRPr="00913ACE" w:rsidTr="007C1520">
        <w:trPr>
          <w:trHeight w:val="201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auto" w:fill="333399"/>
            <w:vAlign w:val="center"/>
            <w:hideMark/>
          </w:tcPr>
          <w:p w:rsidR="00645D11" w:rsidRPr="007C1520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FFFFFF"/>
                <w:sz w:val="20"/>
                <w:lang w:eastAsia="es-DO"/>
              </w:rPr>
              <w:t>TIPO DE FUENTE (S/P)</w:t>
            </w:r>
          </w:p>
        </w:tc>
        <w:tc>
          <w:tcPr>
            <w:tcW w:w="0" w:type="auto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913ACE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913ACE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645D11" w:rsidRPr="00913ACE" w:rsidRDefault="00645D11" w:rsidP="007C1520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</w:tr>
      <w:tr w:rsidR="00645D11" w:rsidRPr="00913ACE" w:rsidTr="007C1520">
        <w:trPr>
          <w:trHeight w:val="177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proofErr w:type="spellStart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Valdesia</w:t>
            </w:r>
            <w:proofErr w:type="spellEnd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. / 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6.3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143.81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146.123</w:t>
            </w:r>
          </w:p>
        </w:tc>
      </w:tr>
      <w:tr w:rsidR="00645D11" w:rsidRPr="00913ACE" w:rsidTr="007C1520">
        <w:trPr>
          <w:trHeight w:val="177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Sub-Total </w:t>
            </w:r>
            <w:proofErr w:type="spellStart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Nizao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6.3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143.81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146.123</w:t>
            </w:r>
          </w:p>
        </w:tc>
      </w:tr>
      <w:tr w:rsidR="00645D11" w:rsidRPr="00913ACE" w:rsidTr="007C1520">
        <w:trPr>
          <w:trHeight w:val="70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</w:p>
        </w:tc>
      </w:tr>
      <w:tr w:rsidR="00645D11" w:rsidRPr="00913ACE" w:rsidTr="007C1520">
        <w:trPr>
          <w:trHeight w:val="252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Haina – </w:t>
            </w:r>
            <w:proofErr w:type="spellStart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Manoguayabo</w:t>
            </w:r>
            <w:proofErr w:type="spellEnd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 / S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4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58.597</w:t>
            </w:r>
          </w:p>
        </w:tc>
      </w:tr>
      <w:tr w:rsidR="00645D11" w:rsidRPr="00913ACE" w:rsidTr="007C1520">
        <w:trPr>
          <w:trHeight w:val="177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proofErr w:type="spellStart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Duey</w:t>
            </w:r>
            <w:proofErr w:type="spellEnd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 / S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1.2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27.25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22.599</w:t>
            </w: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Isa / S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0.7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15.2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12.653</w:t>
            </w:r>
          </w:p>
        </w:tc>
      </w:tr>
      <w:tr w:rsidR="00645D11" w:rsidRPr="00913ACE" w:rsidTr="007C1520">
        <w:trPr>
          <w:trHeight w:val="252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Otros Sistemas Sectoriales / P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1.5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35.85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18.124</w:t>
            </w: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Sub-Total Haina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7.4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169.3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111.973</w:t>
            </w:r>
          </w:p>
        </w:tc>
      </w:tr>
      <w:tr w:rsidR="00645D11" w:rsidRPr="00913ACE" w:rsidTr="007C1520">
        <w:trPr>
          <w:trHeight w:val="25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La Isabela / S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0.5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11.5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4.737</w:t>
            </w:r>
          </w:p>
        </w:tc>
      </w:tr>
      <w:tr w:rsidR="00645D11" w:rsidRPr="00913ACE" w:rsidTr="007C1520">
        <w:trPr>
          <w:trHeight w:val="252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Sabana Perdida / P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0.4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8.35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4.309</w:t>
            </w: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Mata-Mamón / P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0.6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13.68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2.944</w:t>
            </w: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Los </w:t>
            </w:r>
            <w:proofErr w:type="spellStart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Marenos</w:t>
            </w:r>
            <w:proofErr w:type="spellEnd"/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 / P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1.5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35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32.246</w:t>
            </w: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La Joya / P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1.4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31.68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23.883</w:t>
            </w:r>
          </w:p>
        </w:tc>
      </w:tr>
      <w:tr w:rsidR="00645D11" w:rsidRPr="00913ACE" w:rsidTr="007C1520">
        <w:trPr>
          <w:trHeight w:val="375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 xml:space="preserve">Acueducto Oriental / S </w:t>
            </w:r>
          </w:p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(En construcción) *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4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91.31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61.158</w:t>
            </w:r>
          </w:p>
        </w:tc>
      </w:tr>
      <w:tr w:rsidR="00645D11" w:rsidRPr="00913ACE" w:rsidTr="007C1520">
        <w:trPr>
          <w:trHeight w:val="252"/>
        </w:trPr>
        <w:tc>
          <w:tcPr>
            <w:tcW w:w="3153" w:type="dxa"/>
            <w:tcBorders>
              <w:top w:val="nil"/>
              <w:left w:val="single" w:sz="8" w:space="0" w:color="333399"/>
              <w:bottom w:val="nil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Otros Sistemas Sectoriales / P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1.1</w:t>
            </w:r>
          </w:p>
        </w:tc>
        <w:tc>
          <w:tcPr>
            <w:tcW w:w="1580" w:type="dxa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24.86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color w:val="000000"/>
                <w:sz w:val="20"/>
                <w:lang w:eastAsia="es-DO"/>
              </w:rPr>
              <w:t>26.151</w:t>
            </w:r>
          </w:p>
        </w:tc>
      </w:tr>
      <w:tr w:rsidR="00645D11" w:rsidRPr="00913ACE" w:rsidTr="007C1520">
        <w:trPr>
          <w:trHeight w:val="145"/>
        </w:trPr>
        <w:tc>
          <w:tcPr>
            <w:tcW w:w="31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Sub-Total Ozama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9.5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216.38</w:t>
            </w:r>
          </w:p>
        </w:tc>
        <w:tc>
          <w:tcPr>
            <w:tcW w:w="158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FFFFF"/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155.428</w:t>
            </w:r>
          </w:p>
        </w:tc>
      </w:tr>
      <w:tr w:rsidR="00645D11" w:rsidRPr="00913ACE" w:rsidTr="007C1520">
        <w:trPr>
          <w:trHeight w:val="252"/>
        </w:trPr>
        <w:tc>
          <w:tcPr>
            <w:tcW w:w="3153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vAlign w:val="center"/>
            <w:hideMark/>
          </w:tcPr>
          <w:p w:rsidR="00645D11" w:rsidRPr="007C1520" w:rsidRDefault="00645D11" w:rsidP="007C1520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TOTAL PROMEDIO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23.2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529.49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645D11" w:rsidRPr="007C1520" w:rsidRDefault="00645D11" w:rsidP="007C152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</w:pPr>
            <w:r w:rsidRPr="007C1520">
              <w:rPr>
                <w:rFonts w:ascii="Arial" w:hAnsi="Arial" w:cs="Arial"/>
                <w:b/>
                <w:bCs/>
                <w:color w:val="000000"/>
                <w:sz w:val="20"/>
                <w:lang w:eastAsia="es-DO"/>
              </w:rPr>
              <w:t>413.52</w:t>
            </w:r>
          </w:p>
        </w:tc>
      </w:tr>
    </w:tbl>
    <w:p w:rsidR="00645D11" w:rsidRDefault="00645D11" w:rsidP="007C1520">
      <w:pPr>
        <w:tabs>
          <w:tab w:val="left" w:pos="1222"/>
        </w:tabs>
        <w:ind w:left="993" w:hanging="993"/>
        <w:rPr>
          <w:rFonts w:ascii="Arial" w:hAnsi="Arial" w:cs="Arial"/>
          <w:b/>
          <w:i/>
          <w:sz w:val="16"/>
          <w:lang w:val="es-ES"/>
        </w:rPr>
      </w:pPr>
      <w:r w:rsidRPr="00913ACE">
        <w:rPr>
          <w:rFonts w:ascii="Arial" w:hAnsi="Arial" w:cs="Arial"/>
          <w:lang w:val="es-ES"/>
        </w:rPr>
        <w:lastRenderedPageBreak/>
        <w:fldChar w:fldCharType="end"/>
      </w:r>
      <w:r w:rsidRPr="007C1520">
        <w:rPr>
          <w:rFonts w:ascii="Arial" w:hAnsi="Arial" w:cs="Arial"/>
          <w:b/>
          <w:i/>
          <w:sz w:val="16"/>
          <w:lang w:val="es-ES"/>
        </w:rPr>
        <w:t xml:space="preserve">Fuente: a) Datos documento Diagnostico Ambiental y Análisis Económico/Físico de la Secretaria de Estado de </w:t>
      </w:r>
    </w:p>
    <w:p w:rsidR="007C1520" w:rsidRDefault="007C1520" w:rsidP="007C1520">
      <w:pPr>
        <w:jc w:val="both"/>
        <w:rPr>
          <w:rFonts w:ascii="Arial" w:hAnsi="Arial" w:cs="Arial"/>
          <w:b/>
          <w:i/>
          <w:sz w:val="16"/>
          <w:lang w:val="es-ES"/>
        </w:rPr>
      </w:pPr>
      <w:r>
        <w:rPr>
          <w:rFonts w:ascii="Arial" w:hAnsi="Arial" w:cs="Arial"/>
          <w:b/>
          <w:i/>
          <w:sz w:val="16"/>
          <w:lang w:val="es-ES"/>
        </w:rPr>
        <w:t xml:space="preserve">              </w:t>
      </w:r>
      <w:r w:rsidR="00645D11" w:rsidRPr="007C1520">
        <w:rPr>
          <w:rFonts w:ascii="Arial" w:hAnsi="Arial" w:cs="Arial"/>
          <w:b/>
          <w:i/>
          <w:sz w:val="16"/>
          <w:lang w:val="es-ES"/>
        </w:rPr>
        <w:t xml:space="preserve">   Medio Ambie</w:t>
      </w:r>
      <w:r>
        <w:rPr>
          <w:rFonts w:ascii="Arial" w:hAnsi="Arial" w:cs="Arial"/>
          <w:b/>
          <w:i/>
          <w:sz w:val="16"/>
          <w:lang w:val="es-ES"/>
        </w:rPr>
        <w:t xml:space="preserve">nte y Recursos Naturales, 200 </w:t>
      </w:r>
    </w:p>
    <w:p w:rsidR="00645D11" w:rsidRDefault="00645D11" w:rsidP="007C1520">
      <w:pPr>
        <w:ind w:left="851" w:hanging="285"/>
        <w:jc w:val="both"/>
        <w:rPr>
          <w:rFonts w:ascii="Arial" w:hAnsi="Arial" w:cs="Arial"/>
          <w:b/>
          <w:i/>
          <w:sz w:val="16"/>
          <w:lang w:val="es-ES"/>
        </w:rPr>
      </w:pPr>
      <w:r w:rsidRPr="007C1520">
        <w:rPr>
          <w:rFonts w:ascii="Arial" w:hAnsi="Arial" w:cs="Arial"/>
          <w:b/>
          <w:i/>
          <w:sz w:val="16"/>
          <w:lang w:val="es-ES"/>
        </w:rPr>
        <w:t>b) Datos documento del Sistema de Información de Vigilancia Sanitar</w:t>
      </w:r>
      <w:r w:rsidR="007C1520">
        <w:rPr>
          <w:rFonts w:ascii="Arial" w:hAnsi="Arial" w:cs="Arial"/>
          <w:b/>
          <w:i/>
          <w:sz w:val="16"/>
          <w:lang w:val="es-ES"/>
        </w:rPr>
        <w:t xml:space="preserve">ia de la Calidad del Agua de la </w:t>
      </w:r>
      <w:r w:rsidRPr="007C1520">
        <w:rPr>
          <w:rFonts w:ascii="Arial" w:hAnsi="Arial" w:cs="Arial"/>
          <w:b/>
          <w:i/>
          <w:sz w:val="16"/>
          <w:lang w:val="es-ES"/>
        </w:rPr>
        <w:t>CAASD, 2003</w:t>
      </w:r>
      <w:r w:rsidR="00B73F80" w:rsidRPr="007C1520">
        <w:rPr>
          <w:rFonts w:ascii="Arial" w:hAnsi="Arial" w:cs="Arial"/>
          <w:b/>
          <w:i/>
          <w:sz w:val="16"/>
          <w:lang w:val="es-ES"/>
        </w:rPr>
        <w:t xml:space="preserve"> </w:t>
      </w:r>
      <w:r w:rsidRPr="007C1520">
        <w:rPr>
          <w:rFonts w:ascii="Arial" w:hAnsi="Arial" w:cs="Arial"/>
          <w:b/>
          <w:i/>
          <w:sz w:val="16"/>
          <w:lang w:val="es-ES"/>
        </w:rPr>
        <w:t xml:space="preserve"> c) Estos datos corresponden al mes de junio</w:t>
      </w:r>
    </w:p>
    <w:p w:rsidR="002C246D" w:rsidRDefault="002C246D" w:rsidP="007C1520">
      <w:pPr>
        <w:ind w:left="851" w:hanging="285"/>
        <w:jc w:val="both"/>
        <w:rPr>
          <w:rFonts w:ascii="Arial" w:hAnsi="Arial" w:cs="Arial"/>
          <w:b/>
          <w:i/>
          <w:sz w:val="16"/>
          <w:lang w:val="es-ES"/>
        </w:rPr>
      </w:pPr>
    </w:p>
    <w:p w:rsidR="002C246D" w:rsidRPr="007C1520" w:rsidRDefault="002C246D" w:rsidP="007C1520">
      <w:pPr>
        <w:ind w:left="851" w:hanging="285"/>
        <w:jc w:val="both"/>
        <w:rPr>
          <w:rFonts w:ascii="Arial" w:hAnsi="Arial" w:cs="Arial"/>
          <w:b/>
          <w:i/>
          <w:sz w:val="16"/>
          <w:lang w:val="es-ES"/>
        </w:rPr>
      </w:pPr>
    </w:p>
    <w:p w:rsidR="00645D11" w:rsidRPr="00913ACE" w:rsidRDefault="00645D11" w:rsidP="00913ACE">
      <w:pPr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913ACE">
        <w:rPr>
          <w:rFonts w:ascii="Arial" w:hAnsi="Arial" w:cs="Arial"/>
          <w:b/>
          <w:lang w:val="es-ES"/>
        </w:rPr>
        <w:t xml:space="preserve">Producción de Aguas Residuales Domésticas: </w:t>
      </w:r>
    </w:p>
    <w:p w:rsidR="00E57CFA" w:rsidRPr="00913ACE" w:rsidRDefault="00E57CFA" w:rsidP="00913ACE">
      <w:pPr>
        <w:jc w:val="both"/>
        <w:rPr>
          <w:rFonts w:ascii="Arial" w:hAnsi="Arial" w:cs="Arial"/>
          <w:b/>
          <w:lang w:val="es-ES"/>
        </w:rPr>
      </w:pPr>
    </w:p>
    <w:p w:rsidR="00ED1F72" w:rsidRPr="002C246D" w:rsidRDefault="00ED1F72" w:rsidP="00913ACE">
      <w:pPr>
        <w:ind w:left="360"/>
        <w:jc w:val="both"/>
        <w:rPr>
          <w:rFonts w:ascii="Arial" w:hAnsi="Arial" w:cs="Arial"/>
          <w:sz w:val="26"/>
          <w:szCs w:val="26"/>
        </w:rPr>
      </w:pPr>
      <w:r w:rsidRPr="002C246D">
        <w:rPr>
          <w:rFonts w:ascii="Arial" w:hAnsi="Arial" w:cs="Arial"/>
          <w:sz w:val="26"/>
          <w:szCs w:val="26"/>
          <w:lang w:val="es-ES"/>
        </w:rPr>
        <w:t>La producción de aguas residuales mantiene una tendencia creciente debido a que se calcula sobre la base de la población existente y la dotación de agua por persona</w:t>
      </w:r>
      <w:r w:rsidRPr="002C246D">
        <w:rPr>
          <w:rFonts w:ascii="Arial" w:hAnsi="Arial" w:cs="Arial"/>
          <w:sz w:val="26"/>
          <w:szCs w:val="26"/>
        </w:rPr>
        <w:t>.</w:t>
      </w:r>
    </w:p>
    <w:p w:rsidR="00ED1F72" w:rsidRPr="002C246D" w:rsidRDefault="00ED1F72" w:rsidP="00913ACE">
      <w:pPr>
        <w:jc w:val="both"/>
        <w:rPr>
          <w:rFonts w:ascii="Arial" w:hAnsi="Arial" w:cs="Arial"/>
          <w:sz w:val="26"/>
          <w:szCs w:val="26"/>
        </w:rPr>
      </w:pPr>
    </w:p>
    <w:p w:rsidR="00ED1F72" w:rsidRPr="00913ACE" w:rsidRDefault="00ED1F72" w:rsidP="00913ACE">
      <w:pPr>
        <w:jc w:val="both"/>
        <w:rPr>
          <w:rFonts w:ascii="Arial" w:hAnsi="Arial" w:cs="Arial"/>
        </w:rPr>
      </w:pPr>
    </w:p>
    <w:p w:rsidR="00E57CFA" w:rsidRPr="00913ACE" w:rsidRDefault="00ED1F72" w:rsidP="00913ACE">
      <w:pPr>
        <w:jc w:val="both"/>
        <w:rPr>
          <w:rFonts w:ascii="Arial" w:hAnsi="Arial" w:cs="Arial"/>
        </w:rPr>
      </w:pPr>
      <w:r w:rsidRPr="00913ACE">
        <w:rPr>
          <w:rFonts w:ascii="Arial" w:hAnsi="Arial" w:cs="Arial"/>
        </w:rPr>
        <w:t xml:space="preserve">    </w:t>
      </w:r>
      <w:r w:rsidR="00E57CFA" w:rsidRPr="00913ACE">
        <w:rPr>
          <w:rFonts w:ascii="Arial" w:hAnsi="Arial" w:cs="Arial"/>
        </w:rPr>
        <w:t xml:space="preserve">Cuadro no. 5 </w:t>
      </w:r>
    </w:p>
    <w:p w:rsidR="00496CE1" w:rsidRPr="00913ACE" w:rsidRDefault="00496CE1" w:rsidP="00913ACE">
      <w:pPr>
        <w:ind w:left="360"/>
        <w:jc w:val="both"/>
        <w:rPr>
          <w:rFonts w:ascii="Arial" w:hAnsi="Arial" w:cs="Arial"/>
          <w:b/>
          <w:lang w:val="es-ES"/>
        </w:rPr>
      </w:pPr>
    </w:p>
    <w:tbl>
      <w:tblPr>
        <w:tblW w:w="7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437"/>
        <w:gridCol w:w="2236"/>
      </w:tblGrid>
      <w:tr w:rsidR="00496CE1" w:rsidRPr="00913ACE" w:rsidTr="00496CE1">
        <w:trPr>
          <w:trHeight w:val="19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96CE1" w:rsidRPr="00913ACE" w:rsidRDefault="00496CE1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ABRIL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96CE1" w:rsidRPr="00913ACE" w:rsidRDefault="00496CE1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MAYO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96CE1" w:rsidRPr="00913ACE" w:rsidRDefault="00496CE1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JUNIO</w:t>
            </w:r>
          </w:p>
        </w:tc>
      </w:tr>
      <w:tr w:rsidR="00496CE1" w:rsidRPr="00913ACE" w:rsidTr="00496CE1">
        <w:trPr>
          <w:trHeight w:val="506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1" w:rsidRPr="007C1520" w:rsidRDefault="002B5C1B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7C1520">
              <w:rPr>
                <w:rFonts w:ascii="Arial" w:hAnsi="Arial" w:cs="Arial"/>
                <w:b/>
                <w:lang w:eastAsia="es-DO"/>
              </w:rPr>
              <w:t xml:space="preserve">871,089.60 </w:t>
            </w:r>
            <w:r w:rsidR="00496CE1" w:rsidRPr="007C1520">
              <w:rPr>
                <w:rFonts w:ascii="Arial" w:hAnsi="Arial" w:cs="Arial"/>
                <w:b/>
                <w:lang w:eastAsia="es-DO"/>
              </w:rPr>
              <w:t>M3/Día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1" w:rsidRPr="007C1520" w:rsidRDefault="00CF5C7D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7C1520">
              <w:rPr>
                <w:rFonts w:ascii="Arial" w:hAnsi="Arial" w:cs="Arial"/>
                <w:b/>
                <w:lang w:eastAsia="es-DO"/>
              </w:rPr>
              <w:t xml:space="preserve">872,215.00 </w:t>
            </w:r>
            <w:r w:rsidR="00496CE1" w:rsidRPr="007C1520">
              <w:rPr>
                <w:rFonts w:ascii="Arial" w:hAnsi="Arial" w:cs="Arial"/>
                <w:b/>
                <w:lang w:eastAsia="es-DO"/>
              </w:rPr>
              <w:t>M3/Día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1" w:rsidRPr="00913ACE" w:rsidRDefault="00CF5C7D" w:rsidP="00913ACE">
            <w:pPr>
              <w:jc w:val="both"/>
              <w:rPr>
                <w:rFonts w:ascii="Arial" w:hAnsi="Arial" w:cs="Arial"/>
                <w:color w:val="000000"/>
              </w:rPr>
            </w:pPr>
            <w:r w:rsidRPr="007C1520">
              <w:rPr>
                <w:rFonts w:ascii="Arial" w:hAnsi="Arial" w:cs="Arial"/>
                <w:b/>
                <w:color w:val="000000"/>
              </w:rPr>
              <w:t>873,340.32</w:t>
            </w:r>
            <w:r w:rsidRPr="007C1520">
              <w:rPr>
                <w:rFonts w:ascii="Arial" w:hAnsi="Arial" w:cs="Arial"/>
                <w:b/>
                <w:lang w:eastAsia="es-DO"/>
              </w:rPr>
              <w:t xml:space="preserve"> </w:t>
            </w:r>
            <w:r w:rsidR="00496CE1" w:rsidRPr="007C1520">
              <w:rPr>
                <w:rFonts w:ascii="Arial" w:hAnsi="Arial" w:cs="Arial"/>
                <w:b/>
                <w:lang w:eastAsia="es-DO"/>
              </w:rPr>
              <w:t>M3/Día</w:t>
            </w:r>
          </w:p>
        </w:tc>
      </w:tr>
    </w:tbl>
    <w:p w:rsidR="00645D11" w:rsidRPr="00913ACE" w:rsidRDefault="00645D11" w:rsidP="00913ACE">
      <w:pPr>
        <w:ind w:left="360"/>
        <w:jc w:val="both"/>
        <w:rPr>
          <w:rFonts w:ascii="Arial" w:hAnsi="Arial" w:cs="Arial"/>
          <w:color w:val="FF0000"/>
          <w:lang w:val="es-ES"/>
        </w:rPr>
      </w:pPr>
    </w:p>
    <w:p w:rsidR="0073272B" w:rsidRPr="00913ACE" w:rsidRDefault="0073272B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73272B" w:rsidRPr="00913ACE" w:rsidRDefault="0073272B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>L</w:t>
      </w:r>
      <w:r w:rsidR="00645D11" w:rsidRPr="00913ACE">
        <w:rPr>
          <w:rFonts w:ascii="Arial" w:hAnsi="Arial" w:cs="Arial"/>
          <w:lang w:val="es-ES"/>
        </w:rPr>
        <w:t xml:space="preserve">a cifra se estima, asumiendo </w:t>
      </w:r>
      <w:r w:rsidRPr="00913ACE">
        <w:rPr>
          <w:rFonts w:ascii="Arial" w:hAnsi="Arial" w:cs="Arial"/>
          <w:lang w:val="es-ES"/>
        </w:rPr>
        <w:t>que el</w:t>
      </w:r>
      <w:r w:rsidR="00645D11" w:rsidRPr="00913ACE">
        <w:rPr>
          <w:rFonts w:ascii="Arial" w:hAnsi="Arial" w:cs="Arial"/>
          <w:lang w:val="es-ES"/>
        </w:rPr>
        <w:t xml:space="preserve"> 80.0% de</w:t>
      </w:r>
      <w:r w:rsidRPr="00913ACE">
        <w:rPr>
          <w:rFonts w:ascii="Arial" w:hAnsi="Arial" w:cs="Arial"/>
          <w:lang w:val="es-ES"/>
        </w:rPr>
        <w:t xml:space="preserve"> agua distribuida a la población se convierte en agua residual, otra variable en el proceso de cálculo es la </w:t>
      </w:r>
      <w:r w:rsidR="00645D11" w:rsidRPr="00913ACE">
        <w:rPr>
          <w:rFonts w:ascii="Arial" w:hAnsi="Arial" w:cs="Arial"/>
          <w:lang w:val="es-ES"/>
        </w:rPr>
        <w:t xml:space="preserve">dotación </w:t>
      </w:r>
      <w:r w:rsidRPr="00913ACE">
        <w:rPr>
          <w:rFonts w:ascii="Arial" w:hAnsi="Arial" w:cs="Arial"/>
          <w:lang w:val="es-ES"/>
        </w:rPr>
        <w:t xml:space="preserve">de agua potable </w:t>
      </w:r>
      <w:r w:rsidR="00645D11" w:rsidRPr="00913ACE">
        <w:rPr>
          <w:rFonts w:ascii="Arial" w:hAnsi="Arial" w:cs="Arial"/>
          <w:lang w:val="es-ES"/>
        </w:rPr>
        <w:t>por persona</w:t>
      </w:r>
      <w:r w:rsidRPr="00913ACE">
        <w:rPr>
          <w:rFonts w:ascii="Arial" w:hAnsi="Arial" w:cs="Arial"/>
          <w:lang w:val="es-ES"/>
        </w:rPr>
        <w:t>, calculada en 300 l/hab./día.</w:t>
      </w:r>
      <w:r w:rsidR="00645D11" w:rsidRPr="00913ACE">
        <w:rPr>
          <w:rFonts w:ascii="Arial" w:hAnsi="Arial" w:cs="Arial"/>
          <w:lang w:val="es-ES"/>
        </w:rPr>
        <w:t xml:space="preserve"> </w:t>
      </w:r>
    </w:p>
    <w:p w:rsidR="0073272B" w:rsidRPr="00913ACE" w:rsidRDefault="0073272B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645D11" w:rsidRPr="00913ACE" w:rsidRDefault="0073272B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 xml:space="preserve">De acuerdo a lo antes indicado, </w:t>
      </w:r>
      <w:r w:rsidR="00496CE1" w:rsidRPr="00913ACE">
        <w:rPr>
          <w:rFonts w:ascii="Arial" w:hAnsi="Arial" w:cs="Arial"/>
          <w:lang w:val="es-ES"/>
        </w:rPr>
        <w:t>en el mes de junio</w:t>
      </w:r>
      <w:r w:rsidRPr="00913ACE">
        <w:rPr>
          <w:rFonts w:ascii="Arial" w:hAnsi="Arial" w:cs="Arial"/>
          <w:lang w:val="es-ES"/>
        </w:rPr>
        <w:t xml:space="preserve"> el total de aguas residuales genera</w:t>
      </w:r>
      <w:r w:rsidRPr="007C1520">
        <w:rPr>
          <w:rFonts w:ascii="Arial" w:hAnsi="Arial" w:cs="Arial"/>
          <w:lang w:val="es-ES"/>
        </w:rPr>
        <w:t>das</w:t>
      </w:r>
      <w:r w:rsidRPr="00913ACE">
        <w:rPr>
          <w:rFonts w:ascii="Arial" w:hAnsi="Arial" w:cs="Arial"/>
          <w:lang w:val="es-ES"/>
        </w:rPr>
        <w:t xml:space="preserve"> se calcula en</w:t>
      </w:r>
      <w:r w:rsidRPr="00913ACE">
        <w:rPr>
          <w:rFonts w:ascii="Arial" w:hAnsi="Arial" w:cs="Arial"/>
        </w:rPr>
        <w:t xml:space="preserve"> </w:t>
      </w:r>
      <w:r w:rsidRPr="00913ACE">
        <w:rPr>
          <w:rFonts w:ascii="Arial" w:hAnsi="Arial" w:cs="Arial"/>
          <w:lang w:val="es-ES"/>
        </w:rPr>
        <w:t>873,340.32 M3/Día.</w:t>
      </w:r>
    </w:p>
    <w:p w:rsidR="0073272B" w:rsidRPr="00913ACE" w:rsidRDefault="0073272B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73272B" w:rsidRPr="00913ACE" w:rsidRDefault="0073272B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>Calculo:</w:t>
      </w:r>
    </w:p>
    <w:p w:rsidR="00913ACE" w:rsidRPr="00913ACE" w:rsidRDefault="00913ACE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>Población estimada al mes de junio: 3</w:t>
      </w:r>
      <w:proofErr w:type="gramStart"/>
      <w:r w:rsidRPr="00913ACE">
        <w:rPr>
          <w:rFonts w:ascii="Arial" w:hAnsi="Arial" w:cs="Arial"/>
          <w:lang w:val="es-ES"/>
        </w:rPr>
        <w:t>,638,918</w:t>
      </w:r>
      <w:proofErr w:type="gramEnd"/>
      <w:r w:rsidRPr="00913ACE">
        <w:rPr>
          <w:rFonts w:ascii="Arial" w:hAnsi="Arial" w:cs="Arial"/>
          <w:lang w:val="es-ES"/>
        </w:rPr>
        <w:t xml:space="preserve"> habitantes</w:t>
      </w:r>
    </w:p>
    <w:p w:rsidR="00913ACE" w:rsidRPr="00913ACE" w:rsidRDefault="00913ACE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>Dotación por persona: 300 l/hab./día</w:t>
      </w:r>
    </w:p>
    <w:p w:rsidR="00645D11" w:rsidRPr="00913ACE" w:rsidRDefault="00645D11" w:rsidP="00913ACE">
      <w:pPr>
        <w:spacing w:line="276" w:lineRule="auto"/>
        <w:jc w:val="both"/>
        <w:rPr>
          <w:rFonts w:ascii="Arial" w:hAnsi="Arial" w:cs="Arial"/>
          <w:lang w:val="es-ES"/>
        </w:rPr>
      </w:pPr>
    </w:p>
    <w:p w:rsidR="0073272B" w:rsidRDefault="007C1520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(3</w:t>
      </w:r>
      <w:proofErr w:type="gramStart"/>
      <w:r>
        <w:rPr>
          <w:rFonts w:ascii="Arial" w:hAnsi="Arial" w:cs="Arial"/>
          <w:lang w:val="es-ES"/>
        </w:rPr>
        <w:t>,638,</w:t>
      </w:r>
      <w:r w:rsidR="00645D11" w:rsidRPr="00913ACE">
        <w:rPr>
          <w:rFonts w:ascii="Arial" w:hAnsi="Arial" w:cs="Arial"/>
          <w:lang w:val="es-ES"/>
        </w:rPr>
        <w:t>918</w:t>
      </w:r>
      <w:proofErr w:type="gramEnd"/>
      <w:r w:rsidR="00645D11" w:rsidRPr="00913ACE">
        <w:rPr>
          <w:rFonts w:ascii="Arial" w:hAnsi="Arial" w:cs="Arial"/>
          <w:lang w:val="es-ES"/>
        </w:rPr>
        <w:t xml:space="preserve"> habitantes x 300 l/hab./día x 0.80) / 1000</w:t>
      </w:r>
      <w:r w:rsidR="00913ACE" w:rsidRPr="00913ACE">
        <w:rPr>
          <w:rFonts w:ascii="Arial" w:hAnsi="Arial" w:cs="Arial"/>
          <w:lang w:val="es-ES"/>
        </w:rPr>
        <w:t>)</w:t>
      </w:r>
      <w:r w:rsidR="00645D11" w:rsidRPr="00913ACE">
        <w:rPr>
          <w:rFonts w:ascii="Arial" w:hAnsi="Arial" w:cs="Arial"/>
          <w:lang w:val="es-ES"/>
        </w:rPr>
        <w:t xml:space="preserve"> = </w:t>
      </w:r>
      <w:r w:rsidR="00A74EFF" w:rsidRPr="00913ACE">
        <w:rPr>
          <w:rFonts w:ascii="Arial" w:hAnsi="Arial" w:cs="Arial"/>
          <w:lang w:val="es-ES"/>
        </w:rPr>
        <w:t xml:space="preserve"> 873,340.32 </w:t>
      </w:r>
      <w:r w:rsidR="00645D11" w:rsidRPr="00913ACE">
        <w:rPr>
          <w:rFonts w:ascii="Arial" w:hAnsi="Arial" w:cs="Arial"/>
          <w:lang w:val="es-ES"/>
        </w:rPr>
        <w:t>M</w:t>
      </w:r>
      <w:r w:rsidR="00645D11" w:rsidRPr="00913ACE">
        <w:rPr>
          <w:rFonts w:ascii="Arial" w:hAnsi="Arial" w:cs="Arial"/>
          <w:vertAlign w:val="superscript"/>
          <w:lang w:val="es-ES"/>
        </w:rPr>
        <w:t>3</w:t>
      </w:r>
      <w:r>
        <w:rPr>
          <w:rFonts w:ascii="Arial" w:hAnsi="Arial" w:cs="Arial"/>
          <w:lang w:val="es-ES"/>
        </w:rPr>
        <w:t>/Día.</w:t>
      </w:r>
    </w:p>
    <w:p w:rsidR="007C1520" w:rsidRDefault="007C1520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2C246D" w:rsidRPr="00913ACE" w:rsidRDefault="002C246D" w:rsidP="00913ACE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645D11" w:rsidRPr="002C246D" w:rsidRDefault="00645D11" w:rsidP="00913ACE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lang w:val="es-ES"/>
        </w:rPr>
      </w:pPr>
      <w:r w:rsidRPr="002C246D">
        <w:rPr>
          <w:rFonts w:ascii="Arial" w:hAnsi="Arial" w:cs="Arial"/>
          <w:b/>
          <w:sz w:val="28"/>
          <w:lang w:val="es-ES"/>
        </w:rPr>
        <w:t>Planta de Tratamiento de Aguas Residuales Operadas por la CAASD: 19</w:t>
      </w:r>
    </w:p>
    <w:p w:rsidR="00E57CFA" w:rsidRPr="00913ACE" w:rsidRDefault="00E57CFA" w:rsidP="00913ACE">
      <w:pPr>
        <w:ind w:left="360"/>
        <w:jc w:val="both"/>
        <w:rPr>
          <w:rFonts w:ascii="Arial" w:hAnsi="Arial" w:cs="Arial"/>
          <w:b/>
          <w:lang w:val="es-ES"/>
        </w:rPr>
      </w:pPr>
    </w:p>
    <w:p w:rsidR="00E57CFA" w:rsidRPr="00913ACE" w:rsidRDefault="00E57CFA" w:rsidP="00913ACE">
      <w:pPr>
        <w:pStyle w:val="Prrafodelista"/>
        <w:ind w:left="360"/>
        <w:jc w:val="both"/>
        <w:rPr>
          <w:rFonts w:ascii="Arial" w:hAnsi="Arial" w:cs="Arial"/>
        </w:rPr>
      </w:pPr>
      <w:r w:rsidRPr="00913ACE">
        <w:rPr>
          <w:rFonts w:ascii="Arial" w:hAnsi="Arial" w:cs="Arial"/>
        </w:rPr>
        <w:t xml:space="preserve">Cuadro no. 6 </w:t>
      </w:r>
    </w:p>
    <w:p w:rsidR="00645D11" w:rsidRPr="00913ACE" w:rsidRDefault="00645D11" w:rsidP="00913ACE">
      <w:pPr>
        <w:jc w:val="both"/>
        <w:rPr>
          <w:rFonts w:ascii="Arial" w:hAnsi="Arial" w:cs="Arial"/>
          <w:lang w:val="es-ES"/>
        </w:rPr>
      </w:pPr>
    </w:p>
    <w:tbl>
      <w:tblPr>
        <w:tblW w:w="815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4220"/>
        <w:gridCol w:w="1417"/>
        <w:gridCol w:w="2516"/>
      </w:tblGrid>
      <w:tr w:rsidR="00645D11" w:rsidRPr="00913ACE" w:rsidTr="007C1520">
        <w:trPr>
          <w:trHeight w:val="457"/>
          <w:jc w:val="center"/>
        </w:trPr>
        <w:tc>
          <w:tcPr>
            <w:tcW w:w="4220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645D11" w:rsidRPr="00913ACE" w:rsidRDefault="00645D11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val="es-ES"/>
              </w:rPr>
              <w:t>Estado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645D11" w:rsidRPr="00913ACE" w:rsidRDefault="00645D11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913ACE">
              <w:rPr>
                <w:rFonts w:ascii="Arial" w:hAnsi="Arial" w:cs="Arial"/>
                <w:b/>
                <w:bCs/>
                <w:color w:val="FFFFFF"/>
                <w:lang w:val="es-ES"/>
              </w:rPr>
              <w:t>Cantidad</w:t>
            </w:r>
          </w:p>
        </w:tc>
        <w:tc>
          <w:tcPr>
            <w:tcW w:w="2516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645D11" w:rsidRPr="00913ACE" w:rsidRDefault="007C1520" w:rsidP="00913ACE">
            <w:pPr>
              <w:jc w:val="both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"/>
              </w:rPr>
              <w:t xml:space="preserve">Capacidad </w:t>
            </w:r>
            <w:r w:rsidR="00645D11" w:rsidRPr="00913ACE">
              <w:rPr>
                <w:rFonts w:ascii="Arial" w:hAnsi="Arial" w:cs="Arial"/>
                <w:b/>
                <w:bCs/>
                <w:color w:val="FFFFFF"/>
                <w:lang w:val="es-ES"/>
              </w:rPr>
              <w:t>(M</w:t>
            </w:r>
            <w:r w:rsidR="00645D11" w:rsidRPr="00913ACE">
              <w:rPr>
                <w:rFonts w:ascii="Arial" w:hAnsi="Arial" w:cs="Arial"/>
                <w:b/>
                <w:bCs/>
                <w:color w:val="FFFFFF"/>
                <w:vertAlign w:val="superscript"/>
                <w:lang w:val="es-ES"/>
              </w:rPr>
              <w:t>3</w:t>
            </w:r>
            <w:r w:rsidR="00645D11" w:rsidRPr="00913ACE">
              <w:rPr>
                <w:rFonts w:ascii="Arial" w:hAnsi="Arial" w:cs="Arial"/>
                <w:b/>
                <w:bCs/>
                <w:color w:val="FFFFFF"/>
                <w:lang w:val="es-ES"/>
              </w:rPr>
              <w:t>/Día)</w:t>
            </w:r>
          </w:p>
        </w:tc>
      </w:tr>
      <w:tr w:rsidR="00645D11" w:rsidRPr="00913ACE" w:rsidTr="007C1520">
        <w:trPr>
          <w:trHeight w:val="234"/>
          <w:jc w:val="center"/>
        </w:trPr>
        <w:tc>
          <w:tcPr>
            <w:tcW w:w="4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45D11" w:rsidRPr="00913ACE" w:rsidRDefault="00645D11" w:rsidP="00913ACE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13ACE">
              <w:rPr>
                <w:rFonts w:ascii="Arial" w:hAnsi="Arial" w:cs="Arial"/>
                <w:bCs/>
                <w:lang w:val="es-ES"/>
              </w:rPr>
              <w:t xml:space="preserve">En Operación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lang w:val="es-ES"/>
              </w:rPr>
            </w:pPr>
            <w:r w:rsidRPr="00913ACE">
              <w:rPr>
                <w:rFonts w:ascii="Arial" w:hAnsi="Arial" w:cs="Arial"/>
                <w:lang w:val="es-ES"/>
              </w:rPr>
              <w:t>14</w:t>
            </w:r>
          </w:p>
        </w:tc>
        <w:tc>
          <w:tcPr>
            <w:tcW w:w="25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bCs/>
                <w:lang w:val="es-ES"/>
              </w:rPr>
            </w:pPr>
            <w:r w:rsidRPr="00913ACE">
              <w:rPr>
                <w:rFonts w:ascii="Arial" w:hAnsi="Arial" w:cs="Arial"/>
                <w:bCs/>
                <w:lang w:val="es-ES"/>
              </w:rPr>
              <w:t>56,312.89</w:t>
            </w:r>
          </w:p>
        </w:tc>
      </w:tr>
      <w:tr w:rsidR="00645D11" w:rsidRPr="00913ACE" w:rsidTr="007C1520">
        <w:trPr>
          <w:trHeight w:val="254"/>
          <w:jc w:val="center"/>
        </w:trPr>
        <w:tc>
          <w:tcPr>
            <w:tcW w:w="422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645D11" w:rsidRPr="00913ACE" w:rsidRDefault="00645D11" w:rsidP="00913ACE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13ACE">
              <w:rPr>
                <w:rFonts w:ascii="Arial" w:hAnsi="Arial" w:cs="Arial"/>
                <w:bCs/>
                <w:lang w:val="es-ES"/>
              </w:rPr>
              <w:t>Fuera de Servicio</w:t>
            </w:r>
          </w:p>
        </w:tc>
        <w:tc>
          <w:tcPr>
            <w:tcW w:w="1417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lang w:val="es-ES"/>
              </w:rPr>
            </w:pPr>
            <w:r w:rsidRPr="00913AC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2516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bCs/>
                <w:lang w:val="es-ES"/>
              </w:rPr>
            </w:pPr>
            <w:r w:rsidRPr="00913ACE">
              <w:rPr>
                <w:rFonts w:ascii="Arial" w:hAnsi="Arial" w:cs="Arial"/>
                <w:bCs/>
                <w:lang w:val="es-ES"/>
              </w:rPr>
              <w:t>38,308.07</w:t>
            </w:r>
          </w:p>
        </w:tc>
      </w:tr>
      <w:tr w:rsidR="00645D11" w:rsidRPr="00913ACE" w:rsidTr="007C1520">
        <w:trPr>
          <w:trHeight w:val="567"/>
          <w:jc w:val="center"/>
        </w:trPr>
        <w:tc>
          <w:tcPr>
            <w:tcW w:w="4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DE9D9"/>
            <w:hideMark/>
          </w:tcPr>
          <w:p w:rsidR="007C1520" w:rsidRDefault="00645D11" w:rsidP="00913ACE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13ACE">
              <w:rPr>
                <w:rFonts w:ascii="Arial" w:hAnsi="Arial" w:cs="Arial"/>
                <w:bCs/>
                <w:lang w:val="es-ES"/>
              </w:rPr>
              <w:t xml:space="preserve">En construcción </w:t>
            </w:r>
          </w:p>
          <w:p w:rsidR="00645D11" w:rsidRPr="00913ACE" w:rsidRDefault="00645D11" w:rsidP="00913ACE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7C1520">
              <w:rPr>
                <w:rFonts w:ascii="Arial" w:hAnsi="Arial" w:cs="Arial"/>
                <w:bCs/>
                <w:sz w:val="18"/>
                <w:lang w:val="es-ES"/>
              </w:rPr>
              <w:t>(Ampliación Planta en Operación)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DE9D9"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lang w:val="es-ES"/>
              </w:rPr>
            </w:pPr>
          </w:p>
          <w:p w:rsidR="00645D11" w:rsidRPr="00913ACE" w:rsidRDefault="00645D11" w:rsidP="007C1520">
            <w:pPr>
              <w:jc w:val="right"/>
              <w:rPr>
                <w:rFonts w:ascii="Arial" w:hAnsi="Arial" w:cs="Arial"/>
                <w:lang w:val="es-ES"/>
              </w:rPr>
            </w:pPr>
            <w:r w:rsidRPr="00913ACE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25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DE9D9"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bCs/>
                <w:lang w:val="es-ES"/>
              </w:rPr>
            </w:pPr>
          </w:p>
          <w:p w:rsidR="00645D11" w:rsidRPr="00913ACE" w:rsidRDefault="00645D11" w:rsidP="007C1520">
            <w:pPr>
              <w:jc w:val="right"/>
              <w:rPr>
                <w:rFonts w:ascii="Arial" w:hAnsi="Arial" w:cs="Arial"/>
                <w:bCs/>
                <w:lang w:val="es-ES"/>
              </w:rPr>
            </w:pPr>
            <w:r w:rsidRPr="00913ACE">
              <w:rPr>
                <w:rFonts w:ascii="Arial" w:hAnsi="Arial" w:cs="Arial"/>
                <w:bCs/>
                <w:lang w:val="es-ES"/>
              </w:rPr>
              <w:t>-</w:t>
            </w:r>
          </w:p>
        </w:tc>
      </w:tr>
      <w:tr w:rsidR="00645D11" w:rsidRPr="00913ACE" w:rsidTr="007C1520">
        <w:trPr>
          <w:trHeight w:val="222"/>
          <w:jc w:val="center"/>
        </w:trPr>
        <w:tc>
          <w:tcPr>
            <w:tcW w:w="422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45D11" w:rsidRPr="00913ACE" w:rsidRDefault="00645D11" w:rsidP="00913ACE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913ACE">
              <w:rPr>
                <w:rFonts w:ascii="Arial" w:hAnsi="Arial" w:cs="Arial"/>
                <w:b/>
                <w:bCs/>
                <w:lang w:val="es-ES"/>
              </w:rPr>
              <w:t>Total</w:t>
            </w:r>
          </w:p>
        </w:tc>
        <w:tc>
          <w:tcPr>
            <w:tcW w:w="1417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b/>
                <w:bCs/>
                <w:lang w:val="es-ES"/>
              </w:rPr>
            </w:pPr>
            <w:r w:rsidRPr="00913ACE">
              <w:rPr>
                <w:rFonts w:ascii="Arial" w:hAnsi="Arial" w:cs="Arial"/>
                <w:b/>
                <w:bCs/>
                <w:lang w:val="es-ES"/>
              </w:rPr>
              <w:t>19</w:t>
            </w:r>
          </w:p>
        </w:tc>
        <w:tc>
          <w:tcPr>
            <w:tcW w:w="251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45D11" w:rsidRPr="00913ACE" w:rsidRDefault="00645D11" w:rsidP="007C1520">
            <w:pPr>
              <w:jc w:val="right"/>
              <w:rPr>
                <w:rFonts w:ascii="Arial" w:hAnsi="Arial" w:cs="Arial"/>
                <w:color w:val="000000"/>
              </w:rPr>
            </w:pPr>
            <w:r w:rsidRPr="00913ACE">
              <w:rPr>
                <w:rFonts w:ascii="Arial" w:hAnsi="Arial" w:cs="Arial"/>
                <w:b/>
                <w:bCs/>
                <w:lang w:val="es-ES"/>
              </w:rPr>
              <w:t xml:space="preserve">           94,620.96</w:t>
            </w:r>
            <w:r w:rsidRPr="00913ACE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</w:p>
        </w:tc>
      </w:tr>
    </w:tbl>
    <w:p w:rsidR="00645D11" w:rsidRPr="00913ACE" w:rsidRDefault="00645D11" w:rsidP="00913ACE">
      <w:pPr>
        <w:jc w:val="both"/>
        <w:rPr>
          <w:rFonts w:ascii="Arial" w:hAnsi="Arial" w:cs="Arial"/>
          <w:lang w:val="es-ES"/>
        </w:rPr>
      </w:pPr>
    </w:p>
    <w:p w:rsidR="00645D11" w:rsidRPr="007C1520" w:rsidRDefault="00645D11" w:rsidP="00913ACE">
      <w:pPr>
        <w:ind w:left="1276" w:hanging="916"/>
        <w:jc w:val="both"/>
        <w:rPr>
          <w:rFonts w:ascii="Arial" w:hAnsi="Arial" w:cs="Arial"/>
          <w:sz w:val="18"/>
          <w:lang w:val="es-ES"/>
        </w:rPr>
      </w:pPr>
      <w:r w:rsidRPr="007C1520">
        <w:rPr>
          <w:rFonts w:ascii="Arial" w:hAnsi="Arial" w:cs="Arial"/>
          <w:sz w:val="18"/>
          <w:lang w:val="es-ES"/>
        </w:rPr>
        <w:t xml:space="preserve">Nota 1: </w:t>
      </w:r>
      <w:r w:rsidR="007C1520">
        <w:rPr>
          <w:rFonts w:ascii="Arial" w:hAnsi="Arial" w:cs="Arial"/>
          <w:sz w:val="18"/>
          <w:lang w:val="es-ES"/>
        </w:rPr>
        <w:t xml:space="preserve">  </w:t>
      </w:r>
      <w:r w:rsidRPr="007C1520">
        <w:rPr>
          <w:rFonts w:ascii="Arial" w:hAnsi="Arial" w:cs="Arial"/>
          <w:sz w:val="18"/>
          <w:lang w:val="es-ES"/>
        </w:rPr>
        <w:t>No incluye la solución de saneamiento de agua residual por el sector privado</w:t>
      </w:r>
    </w:p>
    <w:p w:rsidR="00645D11" w:rsidRPr="007C1520" w:rsidRDefault="00645D11" w:rsidP="007C1520">
      <w:pPr>
        <w:ind w:left="1134" w:hanging="774"/>
        <w:jc w:val="both"/>
        <w:rPr>
          <w:rFonts w:ascii="Arial" w:hAnsi="Arial" w:cs="Arial"/>
          <w:b/>
          <w:color w:val="FF0000"/>
          <w:sz w:val="18"/>
          <w:lang w:val="es-ES"/>
        </w:rPr>
      </w:pPr>
      <w:r w:rsidRPr="007C1520">
        <w:rPr>
          <w:rFonts w:ascii="Arial" w:hAnsi="Arial" w:cs="Arial"/>
          <w:b/>
          <w:color w:val="FF0000"/>
          <w:sz w:val="18"/>
          <w:lang w:val="es-ES"/>
        </w:rPr>
        <w:t>Nota 2:   La capacidad de tratamiento de las plantas en operac</w:t>
      </w:r>
      <w:r w:rsidR="007C1520">
        <w:rPr>
          <w:rFonts w:ascii="Arial" w:hAnsi="Arial" w:cs="Arial"/>
          <w:b/>
          <w:color w:val="FF0000"/>
          <w:sz w:val="18"/>
          <w:lang w:val="es-ES"/>
        </w:rPr>
        <w:t xml:space="preserve">ión se encuentra actualmente en </w:t>
      </w:r>
      <w:r w:rsidRPr="007C1520">
        <w:rPr>
          <w:rFonts w:ascii="Arial" w:hAnsi="Arial" w:cs="Arial"/>
          <w:b/>
          <w:color w:val="FF0000"/>
          <w:sz w:val="18"/>
          <w:lang w:val="es-ES"/>
        </w:rPr>
        <w:t xml:space="preserve">revisión debido a cambios experimentados fruto de la rehabilitación y readecuación de varias plantas  </w:t>
      </w:r>
    </w:p>
    <w:p w:rsidR="00496CE1" w:rsidRPr="007C1520" w:rsidRDefault="00496CE1" w:rsidP="00913ACE">
      <w:pPr>
        <w:ind w:left="1276" w:hanging="916"/>
        <w:jc w:val="both"/>
        <w:rPr>
          <w:rFonts w:ascii="Arial" w:hAnsi="Arial" w:cs="Arial"/>
          <w:b/>
          <w:color w:val="FF0000"/>
          <w:sz w:val="18"/>
          <w:lang w:val="es-ES"/>
        </w:rPr>
      </w:pPr>
    </w:p>
    <w:p w:rsidR="00496CE1" w:rsidRPr="00913ACE" w:rsidRDefault="00496CE1" w:rsidP="00913ACE">
      <w:pPr>
        <w:ind w:left="1276" w:hanging="916"/>
        <w:jc w:val="both"/>
        <w:rPr>
          <w:rFonts w:ascii="Arial" w:hAnsi="Arial" w:cs="Arial"/>
          <w:b/>
          <w:color w:val="FF0000"/>
          <w:lang w:val="es-ES"/>
        </w:rPr>
      </w:pPr>
    </w:p>
    <w:p w:rsidR="00645D11" w:rsidRPr="00913ACE" w:rsidRDefault="00645D11" w:rsidP="00913ACE">
      <w:pPr>
        <w:jc w:val="both"/>
        <w:rPr>
          <w:rFonts w:ascii="Arial" w:hAnsi="Arial" w:cs="Arial"/>
          <w:lang w:val="es-ES"/>
        </w:rPr>
      </w:pPr>
    </w:p>
    <w:p w:rsidR="00645D11" w:rsidRPr="002C246D" w:rsidRDefault="00645D11" w:rsidP="00913AC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8"/>
          <w:lang w:val="es-ES"/>
        </w:rPr>
      </w:pPr>
      <w:r w:rsidRPr="002C246D">
        <w:rPr>
          <w:rFonts w:ascii="Arial" w:hAnsi="Arial" w:cs="Arial"/>
          <w:b/>
          <w:color w:val="000000"/>
          <w:sz w:val="28"/>
          <w:lang w:val="es-ES"/>
        </w:rPr>
        <w:t>Aguas Residuales Domésticas Recolectadas en Sistemas de Alcantarillado Sanitario: 215,971.27 M</w:t>
      </w:r>
      <w:r w:rsidRPr="002C246D">
        <w:rPr>
          <w:rFonts w:ascii="Arial" w:hAnsi="Arial" w:cs="Arial"/>
          <w:b/>
          <w:color w:val="000000"/>
          <w:sz w:val="28"/>
          <w:vertAlign w:val="superscript"/>
          <w:lang w:val="es-ES"/>
        </w:rPr>
        <w:t>3</w:t>
      </w:r>
      <w:r w:rsidRPr="002C246D">
        <w:rPr>
          <w:rFonts w:ascii="Arial" w:hAnsi="Arial" w:cs="Arial"/>
          <w:b/>
          <w:color w:val="000000"/>
          <w:sz w:val="28"/>
          <w:lang w:val="es-ES"/>
        </w:rPr>
        <w:t>/Día (24.73% del total de aguas residuales generadas).</w:t>
      </w:r>
    </w:p>
    <w:p w:rsidR="00E57CFA" w:rsidRPr="00913ACE" w:rsidRDefault="00E57CFA" w:rsidP="00913ACE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:rsidR="00E57CFA" w:rsidRPr="00913ACE" w:rsidRDefault="00E57CFA" w:rsidP="00913ACE">
      <w:pPr>
        <w:pStyle w:val="Prrafodelista"/>
        <w:ind w:left="360"/>
        <w:jc w:val="both"/>
        <w:rPr>
          <w:rFonts w:ascii="Arial" w:hAnsi="Arial" w:cs="Arial"/>
        </w:rPr>
      </w:pPr>
      <w:r w:rsidRPr="00913ACE">
        <w:rPr>
          <w:rFonts w:ascii="Arial" w:hAnsi="Arial" w:cs="Arial"/>
        </w:rPr>
        <w:t>Cuadro no.  7</w:t>
      </w:r>
    </w:p>
    <w:p w:rsidR="00496CE1" w:rsidRPr="00913ACE" w:rsidRDefault="00496CE1" w:rsidP="00913ACE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tbl>
      <w:tblPr>
        <w:tblW w:w="8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3105"/>
        <w:gridCol w:w="2449"/>
      </w:tblGrid>
      <w:tr w:rsidR="00496CE1" w:rsidRPr="00913ACE" w:rsidTr="007C1520">
        <w:trPr>
          <w:trHeight w:val="122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96CE1" w:rsidRPr="00913ACE" w:rsidRDefault="00496CE1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ABRIL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96CE1" w:rsidRPr="00913ACE" w:rsidRDefault="00496CE1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MAYO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96CE1" w:rsidRPr="00913ACE" w:rsidRDefault="00496CE1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JUNIO</w:t>
            </w:r>
          </w:p>
        </w:tc>
      </w:tr>
      <w:tr w:rsidR="00496CE1" w:rsidRPr="00952849" w:rsidTr="007C1520">
        <w:trPr>
          <w:trHeight w:val="417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1" w:rsidRPr="00952849" w:rsidRDefault="00496CE1" w:rsidP="00913ACE">
            <w:pPr>
              <w:jc w:val="both"/>
              <w:rPr>
                <w:rFonts w:ascii="Arial" w:hAnsi="Arial" w:cs="Arial"/>
                <w:b/>
                <w:sz w:val="20"/>
                <w:lang w:eastAsia="es-DO"/>
              </w:rPr>
            </w:pPr>
            <w:r w:rsidRPr="00952849">
              <w:rPr>
                <w:rFonts w:ascii="Arial" w:hAnsi="Arial" w:cs="Arial"/>
                <w:b/>
                <w:sz w:val="20"/>
                <w:lang w:eastAsia="es-DO"/>
              </w:rPr>
              <w:t xml:space="preserve">         210,909.60 M3/Día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1" w:rsidRPr="00952849" w:rsidRDefault="00496CE1" w:rsidP="00913ACE">
            <w:pPr>
              <w:jc w:val="both"/>
              <w:rPr>
                <w:rFonts w:ascii="Arial" w:hAnsi="Arial" w:cs="Arial"/>
                <w:b/>
                <w:sz w:val="20"/>
                <w:lang w:eastAsia="es-DO"/>
              </w:rPr>
            </w:pPr>
            <w:r w:rsidRPr="00952849">
              <w:rPr>
                <w:rFonts w:ascii="Arial" w:hAnsi="Arial" w:cs="Arial"/>
                <w:b/>
                <w:sz w:val="20"/>
                <w:lang w:eastAsia="es-DO"/>
              </w:rPr>
              <w:t xml:space="preserve">          214,460.14 M3/Día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E1" w:rsidRPr="00952849" w:rsidRDefault="00496CE1" w:rsidP="00913ACE">
            <w:pPr>
              <w:jc w:val="both"/>
              <w:rPr>
                <w:rFonts w:ascii="Arial" w:hAnsi="Arial" w:cs="Arial"/>
                <w:b/>
                <w:sz w:val="20"/>
                <w:lang w:eastAsia="es-DO"/>
              </w:rPr>
            </w:pPr>
            <w:r w:rsidRPr="00952849">
              <w:rPr>
                <w:rFonts w:ascii="Arial" w:hAnsi="Arial" w:cs="Arial"/>
                <w:b/>
                <w:sz w:val="20"/>
                <w:lang w:eastAsia="es-DO"/>
              </w:rPr>
              <w:t xml:space="preserve">       215,971.27 M3/Día </w:t>
            </w:r>
          </w:p>
        </w:tc>
      </w:tr>
    </w:tbl>
    <w:p w:rsidR="00645D11" w:rsidRPr="00913ACE" w:rsidRDefault="00645D11" w:rsidP="00913ACE">
      <w:pPr>
        <w:ind w:left="360"/>
        <w:jc w:val="both"/>
        <w:rPr>
          <w:rFonts w:ascii="Arial" w:hAnsi="Arial" w:cs="Arial"/>
          <w:lang w:val="es-ES"/>
        </w:rPr>
      </w:pPr>
    </w:p>
    <w:p w:rsidR="00496CE1" w:rsidRPr="00913ACE" w:rsidRDefault="00496CE1" w:rsidP="00913ACE">
      <w:pPr>
        <w:ind w:left="360"/>
        <w:jc w:val="both"/>
        <w:rPr>
          <w:rFonts w:ascii="Arial" w:hAnsi="Arial" w:cs="Arial"/>
          <w:lang w:val="es-ES"/>
        </w:rPr>
      </w:pPr>
    </w:p>
    <w:p w:rsidR="00645D11" w:rsidRPr="002C246D" w:rsidRDefault="00645D11" w:rsidP="00913ACE">
      <w:pPr>
        <w:ind w:left="360"/>
        <w:jc w:val="both"/>
        <w:rPr>
          <w:rFonts w:ascii="Arial" w:hAnsi="Arial" w:cs="Arial"/>
          <w:sz w:val="28"/>
          <w:lang w:val="es-ES"/>
        </w:rPr>
      </w:pPr>
      <w:r w:rsidRPr="002C246D">
        <w:rPr>
          <w:rFonts w:ascii="Arial" w:hAnsi="Arial" w:cs="Arial"/>
          <w:sz w:val="28"/>
          <w:lang w:val="es-ES"/>
        </w:rPr>
        <w:t xml:space="preserve">La cantidad de usuarios catastrados al mes de junio 2018 es de </w:t>
      </w:r>
      <w:r w:rsidRPr="002C246D">
        <w:rPr>
          <w:rFonts w:ascii="Arial" w:hAnsi="Arial" w:cs="Arial"/>
          <w:b/>
          <w:sz w:val="28"/>
          <w:lang w:val="es-ES"/>
        </w:rPr>
        <w:t xml:space="preserve">588,222 </w:t>
      </w:r>
      <w:r w:rsidRPr="002C246D">
        <w:rPr>
          <w:rFonts w:ascii="Arial" w:hAnsi="Arial" w:cs="Arial"/>
          <w:sz w:val="28"/>
          <w:lang w:val="es-ES"/>
        </w:rPr>
        <w:t xml:space="preserve">de los cuales </w:t>
      </w:r>
      <w:r w:rsidRPr="002C246D">
        <w:rPr>
          <w:rFonts w:ascii="Arial" w:hAnsi="Arial" w:cs="Arial"/>
          <w:b/>
          <w:sz w:val="28"/>
          <w:lang w:val="es-ES"/>
        </w:rPr>
        <w:t xml:space="preserve">135,435 </w:t>
      </w:r>
      <w:r w:rsidRPr="002C246D">
        <w:rPr>
          <w:rFonts w:ascii="Arial" w:hAnsi="Arial" w:cs="Arial"/>
          <w:sz w:val="28"/>
          <w:lang w:val="es-ES"/>
        </w:rPr>
        <w:t xml:space="preserve">son clientes con acceso o reciben el servicio de Alcantarillado Sanitario, estos representan en términos de cobertura comercial el </w:t>
      </w:r>
      <w:r w:rsidRPr="002C246D">
        <w:rPr>
          <w:rFonts w:ascii="Arial" w:hAnsi="Arial" w:cs="Arial"/>
          <w:b/>
          <w:sz w:val="28"/>
          <w:lang w:val="es-ES"/>
        </w:rPr>
        <w:t>23.02%</w:t>
      </w:r>
    </w:p>
    <w:p w:rsidR="00645D11" w:rsidRPr="002C246D" w:rsidRDefault="00645D11" w:rsidP="00913ACE">
      <w:pPr>
        <w:ind w:left="360"/>
        <w:jc w:val="both"/>
        <w:rPr>
          <w:rFonts w:ascii="Arial" w:hAnsi="Arial" w:cs="Arial"/>
          <w:sz w:val="28"/>
          <w:lang w:val="es-ES"/>
        </w:rPr>
      </w:pPr>
    </w:p>
    <w:p w:rsidR="00645D11" w:rsidRPr="002C246D" w:rsidRDefault="00645D11" w:rsidP="00913ACE">
      <w:pPr>
        <w:ind w:left="360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lang w:val="es-ES"/>
        </w:rPr>
        <w:t xml:space="preserve">La cantidad de viviendas que reciben el servicio es de 272,691 unidades, estas viviendas llevadas a población mediante el factor de habitantes por viviendas que actualmente es de 3.3, representan </w:t>
      </w:r>
      <w:bookmarkStart w:id="2" w:name="_Hlk518898742"/>
      <w:r w:rsidRPr="002C246D">
        <w:rPr>
          <w:rFonts w:ascii="Arial" w:hAnsi="Arial" w:cs="Arial"/>
          <w:b/>
          <w:sz w:val="28"/>
          <w:lang w:val="es-ES"/>
        </w:rPr>
        <w:t>899,880</w:t>
      </w:r>
      <w:bookmarkEnd w:id="2"/>
      <w:r w:rsidRPr="002C246D">
        <w:rPr>
          <w:rFonts w:ascii="Arial" w:hAnsi="Arial" w:cs="Arial"/>
          <w:b/>
          <w:sz w:val="28"/>
          <w:lang w:val="es-ES"/>
        </w:rPr>
        <w:t xml:space="preserve"> habitantes</w:t>
      </w:r>
      <w:r w:rsidRPr="002C246D">
        <w:rPr>
          <w:rFonts w:ascii="Arial" w:hAnsi="Arial" w:cs="Arial"/>
          <w:sz w:val="28"/>
          <w:lang w:val="es-ES"/>
        </w:rPr>
        <w:t xml:space="preserve">, lo que significa que la </w:t>
      </w:r>
      <w:r w:rsidRPr="002C246D">
        <w:rPr>
          <w:rFonts w:ascii="Arial" w:hAnsi="Arial" w:cs="Arial"/>
          <w:sz w:val="28"/>
          <w:szCs w:val="28"/>
          <w:lang w:val="es-ES"/>
        </w:rPr>
        <w:lastRenderedPageBreak/>
        <w:t xml:space="preserve">cobertura de alcantarillado sanitario en la zona bajo jurisdicción de la CAASD es de </w:t>
      </w:r>
      <w:r w:rsidRPr="002C246D">
        <w:rPr>
          <w:rFonts w:ascii="Arial" w:hAnsi="Arial" w:cs="Arial"/>
          <w:b/>
          <w:sz w:val="28"/>
          <w:szCs w:val="28"/>
          <w:lang w:val="es-ES"/>
        </w:rPr>
        <w:t>24.73%</w:t>
      </w:r>
    </w:p>
    <w:p w:rsidR="00645D11" w:rsidRPr="002C246D" w:rsidRDefault="00645D11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645D11" w:rsidRPr="002C246D" w:rsidRDefault="00645D11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 xml:space="preserve">Luego, la cantidad de aguas residuales domésticas recolectadas, será aproximadamente: </w:t>
      </w:r>
      <w:r w:rsidRPr="002C246D">
        <w:rPr>
          <w:rFonts w:ascii="Arial" w:hAnsi="Arial" w:cs="Arial"/>
          <w:b/>
          <w:sz w:val="28"/>
          <w:szCs w:val="28"/>
          <w:lang w:val="es-ES"/>
        </w:rPr>
        <w:t xml:space="preserve">899,880 </w:t>
      </w:r>
      <w:r w:rsidRPr="002C246D">
        <w:rPr>
          <w:rFonts w:ascii="Arial" w:hAnsi="Arial" w:cs="Arial"/>
          <w:sz w:val="28"/>
          <w:szCs w:val="28"/>
          <w:lang w:val="es-ES"/>
        </w:rPr>
        <w:t>x 300 l/hab./día X 0.8 = 215,971.27 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>/Día</w:t>
      </w:r>
    </w:p>
    <w:p w:rsidR="00496CE1" w:rsidRPr="002C246D" w:rsidRDefault="00496CE1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D60DFA" w:rsidRPr="002C246D" w:rsidRDefault="00D60DFA" w:rsidP="00913ACE">
      <w:pPr>
        <w:jc w:val="both"/>
        <w:rPr>
          <w:rFonts w:ascii="Arial" w:hAnsi="Arial" w:cs="Arial"/>
          <w:sz w:val="28"/>
          <w:szCs w:val="28"/>
        </w:rPr>
      </w:pPr>
    </w:p>
    <w:p w:rsidR="00CE6897" w:rsidRPr="002C246D" w:rsidRDefault="00CE6897" w:rsidP="00913AC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2C246D">
        <w:rPr>
          <w:rFonts w:ascii="Arial" w:hAnsi="Arial" w:cs="Arial"/>
          <w:b/>
          <w:color w:val="000000"/>
          <w:sz w:val="28"/>
          <w:szCs w:val="28"/>
          <w:lang w:val="es-ES"/>
        </w:rPr>
        <w:t>Aguas Residuales Domésticas que reciben tratamiento: 26.07% de las aguas recolectadas en sistemas de alcantarillado sanitario.</w:t>
      </w:r>
    </w:p>
    <w:p w:rsidR="00E57CFA" w:rsidRPr="00913ACE" w:rsidRDefault="00E57CFA" w:rsidP="00913ACE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:rsidR="00496CE1" w:rsidRPr="00913ACE" w:rsidRDefault="00E57CFA" w:rsidP="00913ACE">
      <w:pPr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>Cuadro no. 8</w:t>
      </w:r>
    </w:p>
    <w:p w:rsidR="00E57CFA" w:rsidRPr="00913ACE" w:rsidRDefault="00E57CFA" w:rsidP="00913ACE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2494"/>
        <w:gridCol w:w="2289"/>
      </w:tblGrid>
      <w:tr w:rsidR="00CE6897" w:rsidRPr="00913ACE" w:rsidTr="00F92560">
        <w:trPr>
          <w:trHeight w:val="122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E6897" w:rsidRPr="00913ACE" w:rsidRDefault="00CE6897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ABRIL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E6897" w:rsidRPr="00913ACE" w:rsidRDefault="00CE6897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MAYO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E6897" w:rsidRPr="00913ACE" w:rsidRDefault="00CE6897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JUNIO</w:t>
            </w:r>
          </w:p>
        </w:tc>
      </w:tr>
      <w:tr w:rsidR="00CE6897" w:rsidRPr="00913ACE" w:rsidTr="00F92560">
        <w:trPr>
          <w:trHeight w:val="417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97" w:rsidRPr="00913ACE" w:rsidRDefault="00CE6897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 xml:space="preserve">         26.</w:t>
            </w:r>
            <w:r w:rsidR="00A74EFF" w:rsidRPr="00913ACE">
              <w:rPr>
                <w:rFonts w:ascii="Arial" w:hAnsi="Arial" w:cs="Arial"/>
                <w:b/>
                <w:lang w:eastAsia="es-DO"/>
              </w:rPr>
              <w:t>70</w:t>
            </w:r>
            <w:r w:rsidRPr="00913ACE">
              <w:rPr>
                <w:rFonts w:ascii="Arial" w:hAnsi="Arial" w:cs="Arial"/>
                <w:b/>
                <w:lang w:eastAsia="es-DO"/>
              </w:rPr>
              <w:t>%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97" w:rsidRPr="00913ACE" w:rsidRDefault="00CE6897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val="es-ES" w:eastAsia="es-DO"/>
              </w:rPr>
              <w:t>26.26%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97" w:rsidRPr="00913ACE" w:rsidRDefault="00CE6897" w:rsidP="00913ACE">
            <w:pPr>
              <w:jc w:val="both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26.07%</w:t>
            </w:r>
          </w:p>
        </w:tc>
      </w:tr>
    </w:tbl>
    <w:p w:rsidR="00CE6897" w:rsidRPr="00913ACE" w:rsidRDefault="00CE6897" w:rsidP="00913ACE">
      <w:pPr>
        <w:ind w:left="360"/>
        <w:jc w:val="both"/>
        <w:rPr>
          <w:rFonts w:ascii="Arial" w:hAnsi="Arial" w:cs="Arial"/>
          <w:lang w:val="es-ES"/>
        </w:rPr>
      </w:pPr>
    </w:p>
    <w:p w:rsidR="00CE6897" w:rsidRPr="00913ACE" w:rsidRDefault="00CE6897" w:rsidP="00913ACE">
      <w:pPr>
        <w:ind w:left="360"/>
        <w:jc w:val="both"/>
        <w:rPr>
          <w:rFonts w:ascii="Arial" w:hAnsi="Arial" w:cs="Arial"/>
          <w:lang w:val="es-ES"/>
        </w:rPr>
      </w:pP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 xml:space="preserve">La cantidad de agua doméstica recolectada por la CAASD es de </w:t>
      </w:r>
      <w:bookmarkStart w:id="3" w:name="_Hlk518899003"/>
      <w:r w:rsidRPr="002C246D">
        <w:rPr>
          <w:rFonts w:ascii="Arial" w:hAnsi="Arial" w:cs="Arial"/>
          <w:sz w:val="28"/>
          <w:szCs w:val="28"/>
          <w:lang w:val="es-ES"/>
        </w:rPr>
        <w:t>215,971.27</w:t>
      </w:r>
      <w:bookmarkEnd w:id="3"/>
      <w:r w:rsidRPr="002C246D">
        <w:rPr>
          <w:rFonts w:ascii="Arial" w:hAnsi="Arial" w:cs="Arial"/>
          <w:sz w:val="28"/>
          <w:szCs w:val="28"/>
          <w:lang w:val="es-ES"/>
        </w:rPr>
        <w:t xml:space="preserve"> 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>/Día, de los cuales reciben tratamiento 56,312.89 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>/día.</w:t>
      </w: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>Por tanto, el porcentaje de agua que recibe tratamiento de la que se recolecta es:</w:t>
      </w: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>56,312.89 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>/día / 215,971.27 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>/día = 26.07%</w:t>
      </w:r>
    </w:p>
    <w:p w:rsidR="00496CE1" w:rsidRPr="002C246D" w:rsidRDefault="00496CE1" w:rsidP="00913ACE">
      <w:pPr>
        <w:jc w:val="both"/>
        <w:rPr>
          <w:rFonts w:ascii="Arial" w:hAnsi="Arial" w:cs="Arial"/>
          <w:sz w:val="28"/>
          <w:szCs w:val="28"/>
        </w:rPr>
      </w:pPr>
    </w:p>
    <w:p w:rsidR="00F955C7" w:rsidRPr="002C246D" w:rsidRDefault="00F955C7" w:rsidP="00913ACE">
      <w:pPr>
        <w:ind w:left="360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2C246D">
        <w:rPr>
          <w:rFonts w:ascii="Arial" w:hAnsi="Arial" w:cs="Arial"/>
          <w:b/>
          <w:sz w:val="28"/>
          <w:szCs w:val="28"/>
          <w:lang w:val="es-ES"/>
        </w:rPr>
        <w:t xml:space="preserve">Ahora bien, la cantidad total de agua que se genera en la zona del Distrito Nacional, la Provincia Santo Domingo y sus Municipio se calcula en </w:t>
      </w:r>
      <w:r w:rsidR="0021156D" w:rsidRPr="002C246D">
        <w:rPr>
          <w:rFonts w:ascii="Arial" w:hAnsi="Arial" w:cs="Arial"/>
          <w:b/>
          <w:sz w:val="28"/>
          <w:szCs w:val="28"/>
          <w:lang w:val="es-ES"/>
        </w:rPr>
        <w:t xml:space="preserve">873,340.32 </w:t>
      </w:r>
      <w:r w:rsidRPr="002C246D">
        <w:rPr>
          <w:rFonts w:ascii="Arial" w:hAnsi="Arial" w:cs="Arial"/>
          <w:b/>
          <w:sz w:val="28"/>
          <w:szCs w:val="28"/>
          <w:lang w:val="es-ES"/>
        </w:rPr>
        <w:t>m3/día, de este volumen solo se trata 56,312.89 m3/día</w:t>
      </w:r>
      <w:r w:rsidR="00336E18" w:rsidRPr="002C246D">
        <w:rPr>
          <w:rStyle w:val="Refdenotaalpie"/>
          <w:rFonts w:ascii="Arial" w:hAnsi="Arial" w:cs="Arial"/>
          <w:b/>
          <w:sz w:val="28"/>
          <w:szCs w:val="28"/>
          <w:lang w:val="es-ES"/>
        </w:rPr>
        <w:footnoteReference w:id="3"/>
      </w:r>
      <w:r w:rsidRPr="002C246D">
        <w:rPr>
          <w:rFonts w:ascii="Arial" w:hAnsi="Arial" w:cs="Arial"/>
          <w:b/>
          <w:sz w:val="28"/>
          <w:szCs w:val="28"/>
          <w:lang w:val="es-ES"/>
        </w:rPr>
        <w:t>.</w:t>
      </w:r>
    </w:p>
    <w:p w:rsidR="00F955C7" w:rsidRPr="002C246D" w:rsidRDefault="00F955C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F955C7" w:rsidRPr="002C246D" w:rsidRDefault="00F955C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>Por tanto, el porcentaje real que recibe tratamiento de las aguas es:</w:t>
      </w:r>
    </w:p>
    <w:p w:rsidR="00F955C7" w:rsidRPr="002C246D" w:rsidRDefault="00F955C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F955C7" w:rsidRPr="002C246D" w:rsidRDefault="00F955C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>56,312.89 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 xml:space="preserve">/día / </w:t>
      </w:r>
      <w:bookmarkStart w:id="4" w:name="_Hlk521603230"/>
      <w:r w:rsidR="0021156D" w:rsidRPr="002C246D">
        <w:rPr>
          <w:rFonts w:ascii="Arial" w:hAnsi="Arial" w:cs="Arial"/>
          <w:sz w:val="28"/>
          <w:szCs w:val="28"/>
          <w:lang w:val="es-ES"/>
        </w:rPr>
        <w:t xml:space="preserve">873,340.32 </w:t>
      </w:r>
      <w:bookmarkEnd w:id="4"/>
      <w:r w:rsidRPr="002C246D">
        <w:rPr>
          <w:rFonts w:ascii="Arial" w:hAnsi="Arial" w:cs="Arial"/>
          <w:sz w:val="28"/>
          <w:szCs w:val="28"/>
          <w:lang w:val="es-ES"/>
        </w:rPr>
        <w:t>m</w:t>
      </w:r>
      <w:r w:rsidRPr="002C246D">
        <w:rPr>
          <w:rFonts w:ascii="Arial" w:hAnsi="Arial" w:cs="Arial"/>
          <w:sz w:val="28"/>
          <w:szCs w:val="28"/>
          <w:vertAlign w:val="superscript"/>
          <w:lang w:val="es-ES"/>
        </w:rPr>
        <w:t>3</w:t>
      </w:r>
      <w:r w:rsidRPr="002C246D">
        <w:rPr>
          <w:rFonts w:ascii="Arial" w:hAnsi="Arial" w:cs="Arial"/>
          <w:sz w:val="28"/>
          <w:szCs w:val="28"/>
          <w:lang w:val="es-ES"/>
        </w:rPr>
        <w:t xml:space="preserve">/día = </w:t>
      </w:r>
      <w:r w:rsidR="0021156D" w:rsidRPr="002C246D">
        <w:rPr>
          <w:rFonts w:ascii="Arial" w:hAnsi="Arial" w:cs="Arial"/>
          <w:b/>
          <w:sz w:val="28"/>
          <w:szCs w:val="28"/>
          <w:lang w:val="es-ES"/>
        </w:rPr>
        <w:t>6.448%</w:t>
      </w:r>
    </w:p>
    <w:p w:rsidR="00B73F80" w:rsidRPr="002C246D" w:rsidRDefault="00B73F80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 xml:space="preserve">En el trimestre esta estadística se comportó de la siguiente forma: </w:t>
      </w: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E57CFA" w:rsidRPr="002C246D" w:rsidRDefault="00E57CFA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>Cuadro no. 9</w:t>
      </w:r>
    </w:p>
    <w:p w:rsidR="00E57CFA" w:rsidRPr="00913ACE" w:rsidRDefault="00E57CFA" w:rsidP="00913ACE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2494"/>
        <w:gridCol w:w="2289"/>
      </w:tblGrid>
      <w:tr w:rsidR="00CE6897" w:rsidRPr="00913ACE" w:rsidTr="00F92560">
        <w:trPr>
          <w:trHeight w:val="122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E6897" w:rsidRPr="00913ACE" w:rsidRDefault="00CE6897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ABRIL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E6897" w:rsidRPr="00913ACE" w:rsidRDefault="00CE6897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MAYO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CE6897" w:rsidRPr="00913ACE" w:rsidRDefault="00CE6897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13ACE">
              <w:rPr>
                <w:rFonts w:ascii="Arial" w:hAnsi="Arial" w:cs="Arial"/>
                <w:b/>
                <w:lang w:eastAsia="es-DO"/>
              </w:rPr>
              <w:t>JUNIO</w:t>
            </w:r>
          </w:p>
        </w:tc>
      </w:tr>
      <w:tr w:rsidR="00CE6897" w:rsidRPr="00952849" w:rsidTr="00F92560">
        <w:trPr>
          <w:trHeight w:val="417"/>
          <w:jc w:val="center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97" w:rsidRPr="00952849" w:rsidRDefault="006555B7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52849">
              <w:rPr>
                <w:rFonts w:ascii="Arial" w:hAnsi="Arial" w:cs="Arial"/>
                <w:b/>
                <w:lang w:val="es-ES"/>
              </w:rPr>
              <w:t>6.46</w:t>
            </w:r>
            <w:r w:rsidR="00571503" w:rsidRPr="00952849">
              <w:rPr>
                <w:rFonts w:ascii="Arial" w:hAnsi="Arial" w:cs="Arial"/>
                <w:b/>
                <w:lang w:val="es-ES"/>
              </w:rPr>
              <w:t>%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97" w:rsidRPr="00952849" w:rsidRDefault="002B5C1B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52849">
              <w:rPr>
                <w:rFonts w:ascii="Arial" w:hAnsi="Arial" w:cs="Arial"/>
                <w:b/>
                <w:lang w:val="es-ES"/>
              </w:rPr>
              <w:t>6.4</w:t>
            </w:r>
            <w:r w:rsidR="00571503" w:rsidRPr="00952849">
              <w:rPr>
                <w:rFonts w:ascii="Arial" w:hAnsi="Arial" w:cs="Arial"/>
                <w:b/>
                <w:lang w:val="es-ES"/>
              </w:rPr>
              <w:t>6%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97" w:rsidRPr="00952849" w:rsidRDefault="002B5C1B" w:rsidP="00952849">
            <w:pPr>
              <w:jc w:val="center"/>
              <w:rPr>
                <w:rFonts w:ascii="Arial" w:hAnsi="Arial" w:cs="Arial"/>
                <w:b/>
                <w:lang w:eastAsia="es-DO"/>
              </w:rPr>
            </w:pPr>
            <w:r w:rsidRPr="00952849">
              <w:rPr>
                <w:rFonts w:ascii="Arial" w:hAnsi="Arial" w:cs="Arial"/>
                <w:b/>
                <w:lang w:val="es-ES"/>
              </w:rPr>
              <w:t>6.45</w:t>
            </w:r>
            <w:r w:rsidR="0021156D" w:rsidRPr="00952849">
              <w:rPr>
                <w:rFonts w:ascii="Arial" w:hAnsi="Arial" w:cs="Arial"/>
                <w:b/>
                <w:lang w:val="es-ES"/>
              </w:rPr>
              <w:t>%</w:t>
            </w:r>
          </w:p>
        </w:tc>
      </w:tr>
    </w:tbl>
    <w:p w:rsidR="00B73F80" w:rsidRPr="00913ACE" w:rsidRDefault="00B73F80" w:rsidP="00913ACE">
      <w:pPr>
        <w:ind w:left="360"/>
        <w:jc w:val="both"/>
        <w:rPr>
          <w:rFonts w:ascii="Arial" w:hAnsi="Arial" w:cs="Arial"/>
          <w:lang w:val="es-ES"/>
        </w:rPr>
      </w:pPr>
    </w:p>
    <w:p w:rsidR="00B73F80" w:rsidRPr="002C246D" w:rsidRDefault="00B73F80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 w:rsidRPr="002C246D">
        <w:rPr>
          <w:rFonts w:ascii="Arial" w:hAnsi="Arial" w:cs="Arial"/>
          <w:sz w:val="28"/>
          <w:szCs w:val="28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:rsidR="00CE6897" w:rsidRPr="002C246D" w:rsidRDefault="00CE6897" w:rsidP="00913ACE"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p w:rsidR="00CE6897" w:rsidRPr="00913ACE" w:rsidRDefault="00CE6897" w:rsidP="00913ACE">
      <w:pPr>
        <w:ind w:left="360"/>
        <w:jc w:val="both"/>
        <w:rPr>
          <w:rFonts w:ascii="Arial" w:hAnsi="Arial" w:cs="Arial"/>
          <w:lang w:val="es-ES"/>
        </w:rPr>
      </w:pPr>
      <w:r w:rsidRPr="00913ACE">
        <w:rPr>
          <w:rFonts w:ascii="Arial" w:hAnsi="Arial" w:cs="Arial"/>
          <w:lang w:val="es-ES"/>
        </w:rPr>
        <w:t xml:space="preserve">Grafica 1. </w:t>
      </w:r>
      <w:bookmarkStart w:id="5" w:name="_GoBack"/>
      <w:bookmarkEnd w:id="5"/>
    </w:p>
    <w:p w:rsidR="00CE6897" w:rsidRPr="00913ACE" w:rsidRDefault="00CE6897" w:rsidP="00913ACE">
      <w:pPr>
        <w:ind w:left="360"/>
        <w:jc w:val="both"/>
        <w:rPr>
          <w:rFonts w:ascii="Arial" w:hAnsi="Arial" w:cs="Arial"/>
          <w:lang w:val="es-ES"/>
        </w:rPr>
      </w:pPr>
    </w:p>
    <w:p w:rsidR="00CE6897" w:rsidRDefault="002C246D" w:rsidP="00913ACE">
      <w:pPr>
        <w:jc w:val="both"/>
        <w:rPr>
          <w:rFonts w:ascii="Arial" w:hAnsi="Arial" w:cs="Arial"/>
        </w:rPr>
      </w:pPr>
      <w:r>
        <w:rPr>
          <w:noProof/>
          <w:lang w:eastAsia="es-DO"/>
        </w:rPr>
        <w:drawing>
          <wp:inline distT="0" distB="0" distL="0" distR="0" wp14:anchorId="0FB7E54D" wp14:editId="1686A08B">
            <wp:extent cx="5178056" cy="3402419"/>
            <wp:effectExtent l="0" t="0" r="22860" b="266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897" w:rsidRPr="00FD584E" w:rsidRDefault="00E57CFA" w:rsidP="002C246D">
      <w:pPr>
        <w:jc w:val="both"/>
      </w:pPr>
      <w:r w:rsidRPr="00913ACE">
        <w:rPr>
          <w:rFonts w:ascii="Arial" w:hAnsi="Arial" w:cs="Arial"/>
        </w:rPr>
        <w:t xml:space="preserve">  </w:t>
      </w:r>
    </w:p>
    <w:sectPr w:rsidR="00CE6897" w:rsidRPr="00FD584E" w:rsidSect="00991E5B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63" w:rsidRDefault="00A11E63" w:rsidP="00A4330C">
      <w:r>
        <w:separator/>
      </w:r>
    </w:p>
  </w:endnote>
  <w:endnote w:type="continuationSeparator" w:id="0">
    <w:p w:rsidR="00A11E63" w:rsidRDefault="00A11E63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63" w:rsidRDefault="00A11E63" w:rsidP="00A4330C">
      <w:r>
        <w:separator/>
      </w:r>
    </w:p>
  </w:footnote>
  <w:footnote w:type="continuationSeparator" w:id="0">
    <w:p w:rsidR="00A11E63" w:rsidRDefault="00A11E63" w:rsidP="00A4330C">
      <w:r>
        <w:continuationSeparator/>
      </w:r>
    </w:p>
  </w:footnote>
  <w:footnote w:id="1">
    <w:p w:rsidR="00D60DFA" w:rsidRPr="00D7087B" w:rsidRDefault="00D60DFA" w:rsidP="00D60DFA">
      <w:pPr>
        <w:pStyle w:val="Textonotapie"/>
        <w:rPr>
          <w:rFonts w:ascii="Arial" w:hAnsi="Arial" w:cs="Arial"/>
          <w:sz w:val="18"/>
          <w:szCs w:val="24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7087B">
        <w:rPr>
          <w:rFonts w:ascii="Arial" w:hAnsi="Arial" w:cs="Arial"/>
          <w:sz w:val="18"/>
          <w:szCs w:val="24"/>
          <w:lang w:val="es-ES"/>
        </w:rPr>
        <w:t xml:space="preserve">Para el año 2018, la Oficina </w:t>
      </w:r>
      <w:proofErr w:type="spellStart"/>
      <w:r w:rsidRPr="00D7087B">
        <w:rPr>
          <w:rFonts w:ascii="Arial" w:hAnsi="Arial" w:cs="Arial"/>
          <w:sz w:val="18"/>
          <w:szCs w:val="24"/>
          <w:lang w:val="es-ES"/>
        </w:rPr>
        <w:t>Nac</w:t>
      </w:r>
      <w:proofErr w:type="spellEnd"/>
      <w:r w:rsidRPr="00D7087B">
        <w:rPr>
          <w:rFonts w:ascii="Arial" w:hAnsi="Arial" w:cs="Arial"/>
          <w:sz w:val="18"/>
          <w:szCs w:val="24"/>
          <w:lang w:val="es-ES"/>
        </w:rPr>
        <w:t xml:space="preserve">. De Estadísticas estimó en </w:t>
      </w:r>
      <w:bookmarkStart w:id="0" w:name="_Hlk513807332"/>
      <w:r w:rsidRPr="00D7087B">
        <w:rPr>
          <w:rFonts w:ascii="Arial" w:hAnsi="Arial" w:cs="Arial"/>
          <w:sz w:val="18"/>
          <w:szCs w:val="24"/>
          <w:lang w:val="es-ES"/>
        </w:rPr>
        <w:t xml:space="preserve">3,667,051 </w:t>
      </w:r>
      <w:bookmarkEnd w:id="0"/>
      <w:r w:rsidRPr="00D7087B">
        <w:rPr>
          <w:rFonts w:ascii="Arial" w:hAnsi="Arial" w:cs="Arial"/>
          <w:sz w:val="18"/>
          <w:szCs w:val="24"/>
          <w:lang w:val="es-ES"/>
        </w:rPr>
        <w:t>Hab. Dicha estimación la hemos</w:t>
      </w:r>
      <w:r>
        <w:rPr>
          <w:rFonts w:ascii="Arial" w:hAnsi="Arial" w:cs="Arial"/>
          <w:sz w:val="18"/>
          <w:szCs w:val="24"/>
          <w:lang w:val="es-ES"/>
        </w:rPr>
        <w:t xml:space="preserve"> fragmentado mes tras mes, </w:t>
      </w:r>
      <w:r w:rsidRPr="00D7087B">
        <w:rPr>
          <w:rFonts w:ascii="Arial" w:hAnsi="Arial" w:cs="Arial"/>
          <w:sz w:val="18"/>
          <w:szCs w:val="24"/>
          <w:lang w:val="es-ES"/>
        </w:rPr>
        <w:t>asumiendo un crecimiento lineal de 4,689 Habitantes.</w:t>
      </w:r>
    </w:p>
  </w:footnote>
  <w:footnote w:id="2">
    <w:p w:rsidR="00645D11" w:rsidRDefault="00645D1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73F80">
        <w:rPr>
          <w:rFonts w:ascii="Arial" w:hAnsi="Arial" w:cs="Arial"/>
          <w:sz w:val="18"/>
          <w:szCs w:val="24"/>
          <w:lang w:val="es-ES"/>
        </w:rPr>
        <w:t>Datos proyectados al Mes de jun</w:t>
      </w:r>
      <w:r w:rsidR="00B73F80">
        <w:rPr>
          <w:rFonts w:ascii="Arial" w:hAnsi="Arial" w:cs="Arial"/>
          <w:sz w:val="18"/>
          <w:szCs w:val="24"/>
          <w:lang w:val="es-ES"/>
        </w:rPr>
        <w:t>i</w:t>
      </w:r>
      <w:r w:rsidRPr="00B73F80">
        <w:rPr>
          <w:rFonts w:ascii="Arial" w:hAnsi="Arial" w:cs="Arial"/>
          <w:sz w:val="18"/>
          <w:szCs w:val="24"/>
          <w:lang w:val="es-ES"/>
        </w:rPr>
        <w:t>o, 2018.</w:t>
      </w:r>
    </w:p>
  </w:footnote>
  <w:footnote w:id="3">
    <w:p w:rsidR="00336E18" w:rsidRDefault="00336E18">
      <w:pPr>
        <w:pStyle w:val="Textonotapie"/>
      </w:pPr>
      <w:r>
        <w:rPr>
          <w:rStyle w:val="Refdenotaalpie"/>
        </w:rPr>
        <w:footnoteRef/>
      </w:r>
      <w:r>
        <w:t xml:space="preserve"> Esta estadística fue revisada y corregida</w:t>
      </w:r>
      <w:r w:rsidR="00E57CFA">
        <w:t xml:space="preserve">,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0C" w:rsidRPr="00A4330C" w:rsidRDefault="00A4330C" w:rsidP="00A4330C">
    <w:pPr>
      <w:pStyle w:val="NormalWeb"/>
      <w:spacing w:before="0" w:beforeAutospacing="0" w:after="0" w:afterAutospacing="0"/>
      <w:jc w:val="center"/>
      <w:rPr>
        <w:rFonts w:ascii="Cambria Math" w:hAnsi="Cambria Math"/>
        <w:sz w:val="16"/>
      </w:rPr>
    </w:pPr>
    <w:r w:rsidRPr="00A4330C">
      <w:rPr>
        <w:rFonts w:ascii="Cambria Math" w:hAnsi="Cambria Math"/>
        <w:color w:val="336699"/>
        <w:sz w:val="44"/>
        <w:szCs w:val="72"/>
        <w14:shadow w14:blurRad="0" w14:dist="45847" w14:dir="2021404" w14:sx="100000" w14:sy="100000" w14:kx="0" w14:ky="0" w14:algn="ctr">
          <w14:srgbClr w14:val="B2B2B2">
            <w14:alpha w14:val="20000"/>
          </w14:srgbClr>
        </w14:shadow>
      </w:rPr>
      <w:t>CORPORACION DEL ACUEDUCTO Y ALCANTARILLADO DE SANTO DOMINGO</w:t>
    </w:r>
  </w:p>
  <w:p w:rsidR="00A4330C" w:rsidRPr="00A4330C" w:rsidRDefault="00A4330C" w:rsidP="00A4330C">
    <w:pPr>
      <w:jc w:val="center"/>
      <w:rPr>
        <w:rFonts w:ascii="Cambria Math" w:hAnsi="Cambria Math"/>
        <w:sz w:val="20"/>
        <w:lang w:val="es-ES"/>
      </w:rPr>
    </w:pPr>
  </w:p>
  <w:p w:rsidR="00A4330C" w:rsidRPr="00A4330C" w:rsidRDefault="00A4330C" w:rsidP="00A4330C">
    <w:pPr>
      <w:jc w:val="center"/>
      <w:rPr>
        <w:rFonts w:ascii="Cambria Math" w:hAnsi="Cambria Math"/>
        <w:sz w:val="20"/>
        <w:lang w:val="es-ES"/>
      </w:rPr>
    </w:pPr>
    <w:r w:rsidRPr="005844DC">
      <w:rPr>
        <w:noProof/>
        <w:lang w:eastAsia="es-DO"/>
      </w:rPr>
      <w:drawing>
        <wp:inline distT="0" distB="0" distL="0" distR="0" wp14:anchorId="174F23AE" wp14:editId="521876B8">
          <wp:extent cx="691117" cy="7334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02" cy="73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330C" w:rsidRDefault="00A433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6D22"/>
    <w:multiLevelType w:val="hybridMultilevel"/>
    <w:tmpl w:val="B6BA96DC"/>
    <w:lvl w:ilvl="0" w:tplc="BFACA3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267F08"/>
    <w:multiLevelType w:val="hybridMultilevel"/>
    <w:tmpl w:val="72FCC2A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0C"/>
    <w:rsid w:val="00140BD9"/>
    <w:rsid w:val="0021156D"/>
    <w:rsid w:val="002B5C1B"/>
    <w:rsid w:val="002C246D"/>
    <w:rsid w:val="00336E18"/>
    <w:rsid w:val="00373176"/>
    <w:rsid w:val="004901CD"/>
    <w:rsid w:val="00496CE1"/>
    <w:rsid w:val="00552F2A"/>
    <w:rsid w:val="00571503"/>
    <w:rsid w:val="00614384"/>
    <w:rsid w:val="00645D11"/>
    <w:rsid w:val="006555B7"/>
    <w:rsid w:val="00673FBB"/>
    <w:rsid w:val="0073272B"/>
    <w:rsid w:val="007C1520"/>
    <w:rsid w:val="00844BBD"/>
    <w:rsid w:val="00913ACE"/>
    <w:rsid w:val="00952849"/>
    <w:rsid w:val="00991E5B"/>
    <w:rsid w:val="00A11E63"/>
    <w:rsid w:val="00A4330C"/>
    <w:rsid w:val="00A74EFF"/>
    <w:rsid w:val="00AE3269"/>
    <w:rsid w:val="00B73F80"/>
    <w:rsid w:val="00C42ED4"/>
    <w:rsid w:val="00CE14C7"/>
    <w:rsid w:val="00CE6897"/>
    <w:rsid w:val="00CF5C7D"/>
    <w:rsid w:val="00D60DFA"/>
    <w:rsid w:val="00E57CFA"/>
    <w:rsid w:val="00EC4E0B"/>
    <w:rsid w:val="00ED1F72"/>
    <w:rsid w:val="00ED30E7"/>
    <w:rsid w:val="00F955C7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19"/>
    <w:rsid w:val="00A4330C"/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C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C7D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55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55B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555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19"/>
    <w:rsid w:val="00A4330C"/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C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C7D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55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55B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55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DO"/>
              <a:t>SITUACION</a:t>
            </a:r>
            <a:r>
              <a:rPr lang="es-DO" baseline="0"/>
              <a:t> DE LA AGUAS RESIDUALES</a:t>
            </a:r>
          </a:p>
          <a:p>
            <a:pPr>
              <a:defRPr/>
            </a:pPr>
            <a:r>
              <a:rPr lang="es-DO" baseline="0"/>
              <a:t>VALOR EN M</a:t>
            </a:r>
            <a:r>
              <a:rPr lang="es-DO" baseline="30000"/>
              <a:t>3</a:t>
            </a:r>
            <a:r>
              <a:rPr lang="es-DO" baseline="0"/>
              <a:t>/DIA</a:t>
            </a:r>
            <a:endParaRPr lang="es-DO"/>
          </a:p>
        </c:rich>
      </c:tx>
      <c:layout>
        <c:manualLayout>
          <c:xMode val="edge"/>
          <c:yMode val="edge"/>
          <c:x val="0.10682002120804347"/>
          <c:y val="4.22322775263951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48867013549353"/>
          <c:y val="0.2762679778149903"/>
          <c:w val="0.77068790072660254"/>
          <c:h val="0.469156185793517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Hoja1!$A$35</c:f>
              <c:strCache>
                <c:ptCount val="1"/>
                <c:pt idx="0">
                  <c:v>Producción AR</c:v>
                </c:pt>
              </c:strCache>
            </c:strRef>
          </c:tx>
          <c:invertIfNegative val="0"/>
          <c:cat>
            <c:strRef>
              <c:f>Hoja1!$B$34:$D$34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Hoja1!$B$35:$D$35</c:f>
              <c:numCache>
                <c:formatCode>_(* #,##0.00_);_(* \(#,##0.00\);_(* "-"??_);_(@_)</c:formatCode>
                <c:ptCount val="3"/>
                <c:pt idx="0">
                  <c:v>871089.6</c:v>
                </c:pt>
                <c:pt idx="1">
                  <c:v>872214.96</c:v>
                </c:pt>
                <c:pt idx="2">
                  <c:v>873340.32</c:v>
                </c:pt>
              </c:numCache>
            </c:numRef>
          </c:val>
        </c:ser>
        <c:ser>
          <c:idx val="1"/>
          <c:order val="1"/>
          <c:tx>
            <c:strRef>
              <c:f>Hoja1!$A$36</c:f>
              <c:strCache>
                <c:ptCount val="1"/>
                <c:pt idx="0">
                  <c:v>Recolección AR</c:v>
                </c:pt>
              </c:strCache>
            </c:strRef>
          </c:tx>
          <c:invertIfNegative val="0"/>
          <c:cat>
            <c:strRef>
              <c:f>Hoja1!$B$34:$D$34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Hoja1!$B$36:$D$36</c:f>
              <c:numCache>
                <c:formatCode>#,##0.00</c:formatCode>
                <c:ptCount val="3"/>
                <c:pt idx="0">
                  <c:v>210909.6</c:v>
                </c:pt>
                <c:pt idx="1">
                  <c:v>214460.14</c:v>
                </c:pt>
                <c:pt idx="2">
                  <c:v>215971.27</c:v>
                </c:pt>
              </c:numCache>
            </c:numRef>
          </c:val>
        </c:ser>
        <c:ser>
          <c:idx val="2"/>
          <c:order val="2"/>
          <c:tx>
            <c:strRef>
              <c:f>Hoja1!$A$37</c:f>
              <c:strCache>
                <c:ptCount val="1"/>
                <c:pt idx="0">
                  <c:v>Tratamiento AR</c:v>
                </c:pt>
              </c:strCache>
            </c:strRef>
          </c:tx>
          <c:invertIfNegative val="0"/>
          <c:cat>
            <c:strRef>
              <c:f>Hoja1!$B$34:$D$34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Hoja1!$B$37:$D$37</c:f>
              <c:numCache>
                <c:formatCode>#,##0.00</c:formatCode>
                <c:ptCount val="3"/>
                <c:pt idx="0">
                  <c:v>56312.89</c:v>
                </c:pt>
                <c:pt idx="1">
                  <c:v>56312.89</c:v>
                </c:pt>
                <c:pt idx="2">
                  <c:v>56312.89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343168"/>
        <c:axId val="297629888"/>
        <c:axId val="0"/>
      </c:bar3DChart>
      <c:catAx>
        <c:axId val="15034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97629888"/>
        <c:crosses val="autoZero"/>
        <c:auto val="1"/>
        <c:lblAlgn val="ctr"/>
        <c:lblOffset val="100"/>
        <c:noMultiLvlLbl val="0"/>
      </c:catAx>
      <c:valAx>
        <c:axId val="29762988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150343168"/>
        <c:crosses val="autoZero"/>
        <c:crossBetween val="between"/>
        <c:minorUnit val="50000"/>
      </c:valAx>
    </c:plotArea>
    <c:legend>
      <c:legendPos val="b"/>
      <c:layout>
        <c:manualLayout>
          <c:xMode val="edge"/>
          <c:yMode val="edge"/>
          <c:x val="0.12507982441615401"/>
          <c:y val="0.91391688498107126"/>
          <c:w val="0.66381866691163605"/>
          <c:h val="5.454875832828588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57F4-97AE-41DD-9068-C6679F54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Katihusca Ledesma</cp:lastModifiedBy>
  <cp:revision>3</cp:revision>
  <dcterms:created xsi:type="dcterms:W3CDTF">2018-08-10T03:11:00Z</dcterms:created>
  <dcterms:modified xsi:type="dcterms:W3CDTF">2018-08-10T03:12:00Z</dcterms:modified>
</cp:coreProperties>
</file>