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6D4160" w:rsidRPr="009C7555" w:rsidTr="006D4160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noProof/>
                <w:color w:val="auto"/>
                <w:lang w:eastAsia="es-ES"/>
              </w:rPr>
              <w:drawing>
                <wp:inline distT="0" distB="0" distL="0" distR="0" wp14:anchorId="274E30D9" wp14:editId="7DB4BFAF">
                  <wp:extent cx="758753" cy="993955"/>
                  <wp:effectExtent l="0" t="0" r="3810" b="0"/>
                  <wp:docPr id="3" name="1 Imagen" descr="http://cdn4.hoy.com.do/wp-content/uploads/2013/12/caas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ttp://cdn4.hoy.com.do/wp-content/uploads/2013/12/caas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53" cy="993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4160" w:rsidRPr="009C7555" w:rsidRDefault="006D4160" w:rsidP="006D416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6D4160" w:rsidRPr="009C7555" w:rsidTr="006D4160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</w:tc>
      </w:tr>
      <w:tr w:rsidR="006D4160" w:rsidRPr="009C7555" w:rsidTr="006D4160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160" w:rsidRPr="009C7555" w:rsidRDefault="006D4160" w:rsidP="006D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:rsidR="006E4E0D" w:rsidRPr="009C7555" w:rsidRDefault="006E4E0D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>
      <w:r w:rsidRPr="009C75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AF350B3" wp14:editId="236BC1F7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4160" w:rsidRPr="002B18A5" w:rsidRDefault="00FA6061" w:rsidP="006D4160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placeholder>
                                  <w:docPart w:val="63FA84B83EF842218467AD768107319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B4279">
                                  <w:t xml:space="preserve">Reporte </w:t>
                                </w:r>
                                <w:r w:rsidR="00200150">
                                  <w:t xml:space="preserve">DE </w:t>
                                </w:r>
                                <w:r w:rsidR="006D4160">
                                  <w:t>seguimiento de proyectos</w:t>
                                </w:r>
                              </w:sdtContent>
                            </w:sdt>
                          </w:p>
                          <w:p w:rsidR="006D4160" w:rsidRPr="00413512" w:rsidRDefault="007445C4" w:rsidP="006D4160">
                            <w:pPr>
                              <w:pStyle w:val="Subttulo"/>
                            </w:pPr>
                            <w:r>
                              <w:t>MAYO</w:t>
                            </w:r>
                            <w:r w:rsidR="006D4160" w:rsidRPr="002B18A5">
                              <w:t xml:space="preserve"> </w:t>
                            </w:r>
                            <w:r w:rsidR="006D4160">
                              <w:t>201</w:t>
                            </w:r>
                            <w:r w:rsidR="00CD5965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50B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" o:allowoverlap="f" filled="f" stroked="f" strokeweight=".5pt">
                <v:textbox inset="0,0,0,0">
                  <w:txbxContent>
                    <w:p w:rsidR="006D4160" w:rsidRPr="002B18A5" w:rsidRDefault="00FA6061" w:rsidP="006D4160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placeholder>
                            <w:docPart w:val="63FA84B83EF842218467AD768107319F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5B4279">
                            <w:t xml:space="preserve">Reporte </w:t>
                          </w:r>
                          <w:r w:rsidR="00200150">
                            <w:t xml:space="preserve">DE </w:t>
                          </w:r>
                          <w:r w:rsidR="006D4160">
                            <w:t>seguimiento de proyectos</w:t>
                          </w:r>
                        </w:sdtContent>
                      </w:sdt>
                    </w:p>
                    <w:p w:rsidR="006D4160" w:rsidRPr="00413512" w:rsidRDefault="007445C4" w:rsidP="006D4160">
                      <w:pPr>
                        <w:pStyle w:val="Subttulo"/>
                      </w:pPr>
                      <w:r>
                        <w:t>MAYO</w:t>
                      </w:r>
                      <w:r w:rsidR="006D4160" w:rsidRPr="002B18A5">
                        <w:t xml:space="preserve"> </w:t>
                      </w:r>
                      <w:r w:rsidR="006D4160">
                        <w:t>201</w:t>
                      </w:r>
                      <w:r w:rsidR="00CD5965"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555">
        <w:rPr>
          <w:noProof/>
          <w:lang w:eastAsia="es-ES"/>
        </w:rPr>
        <w:drawing>
          <wp:inline distT="0" distB="0" distL="0" distR="0" wp14:anchorId="580C89C2" wp14:editId="740DC6D1">
            <wp:extent cx="5400040" cy="40500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6D4160" w:rsidRPr="009C7555" w:rsidRDefault="006D4160" w:rsidP="006D4160"/>
    <w:p w:rsidR="0059351A" w:rsidRPr="009C7555" w:rsidRDefault="0059351A" w:rsidP="006D4160">
      <w:pPr>
        <w:sectPr w:rsidR="0059351A" w:rsidRPr="009C7555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6FC3" w:rsidRPr="009C7555" w:rsidRDefault="002E6FC3" w:rsidP="00692CC6">
      <w:pPr>
        <w:pStyle w:val="Citadestacada"/>
        <w:rPr>
          <w:sz w:val="36"/>
        </w:rPr>
      </w:pPr>
      <w:r w:rsidRPr="009C7555">
        <w:rPr>
          <w:sz w:val="36"/>
        </w:rPr>
        <w:lastRenderedPageBreak/>
        <w:t xml:space="preserve">Reporte de Ejecución </w:t>
      </w:r>
      <w:r w:rsidR="00C41DE0" w:rsidRPr="009C7555">
        <w:rPr>
          <w:sz w:val="36"/>
        </w:rPr>
        <w:t>Financiera</w:t>
      </w:r>
    </w:p>
    <w:p w:rsidR="00692CC6" w:rsidRPr="009C7555" w:rsidRDefault="006944B1" w:rsidP="00667AFD">
      <w:pPr>
        <w:jc w:val="both"/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787F67">
        <w:rPr>
          <w:rFonts w:ascii="Bookman Old Style" w:hAnsi="Bookman Old Style"/>
          <w:color w:val="auto"/>
          <w:sz w:val="24"/>
        </w:rPr>
        <w:t xml:space="preserve">el mes de </w:t>
      </w:r>
      <w:r w:rsidR="0038592A">
        <w:rPr>
          <w:rFonts w:ascii="Bookman Old Style" w:hAnsi="Bookman Old Style"/>
          <w:color w:val="auto"/>
          <w:sz w:val="24"/>
        </w:rPr>
        <w:t>Mayo</w:t>
      </w:r>
      <w:r w:rsidR="00FA16DC">
        <w:rPr>
          <w:rFonts w:ascii="Bookman Old Style" w:hAnsi="Bookman Old Style"/>
          <w:color w:val="auto"/>
          <w:sz w:val="24"/>
        </w:rPr>
        <w:t xml:space="preserve"> </w:t>
      </w:r>
      <w:r w:rsidR="00787F67">
        <w:rPr>
          <w:rFonts w:ascii="Bookman Old Style" w:hAnsi="Bookman Old Style"/>
          <w:color w:val="auto"/>
          <w:sz w:val="24"/>
        </w:rPr>
        <w:t>d</w:t>
      </w:r>
      <w:r w:rsidR="00FA16DC">
        <w:rPr>
          <w:rFonts w:ascii="Bookman Old Style" w:hAnsi="Bookman Old Style"/>
          <w:color w:val="auto"/>
          <w:sz w:val="24"/>
        </w:rPr>
        <w:t xml:space="preserve">el </w:t>
      </w:r>
      <w:r w:rsidR="00246AA0" w:rsidRPr="009C7555">
        <w:rPr>
          <w:rFonts w:ascii="Bookman Old Style" w:hAnsi="Bookman Old Style"/>
          <w:color w:val="auto"/>
          <w:sz w:val="24"/>
        </w:rPr>
        <w:t>201</w:t>
      </w:r>
      <w:r w:rsidR="002132D2" w:rsidRPr="009C7555">
        <w:rPr>
          <w:rFonts w:ascii="Bookman Old Style" w:hAnsi="Bookman Old Style"/>
          <w:color w:val="auto"/>
          <w:sz w:val="24"/>
        </w:rPr>
        <w:t>8</w:t>
      </w:r>
      <w:r w:rsidRPr="009C7555">
        <w:rPr>
          <w:rFonts w:ascii="Bookman Old Style" w:hAnsi="Bookman Old Style"/>
          <w:color w:val="auto"/>
          <w:sz w:val="24"/>
        </w:rPr>
        <w:t xml:space="preserve"> </w:t>
      </w:r>
      <w:r w:rsidR="00692CC6" w:rsidRPr="009C7555">
        <w:rPr>
          <w:rFonts w:ascii="Bookman Old Style" w:hAnsi="Bookman Old Style"/>
          <w:color w:val="auto"/>
          <w:sz w:val="24"/>
        </w:rPr>
        <w:t xml:space="preserve">se encuentran detallados en la siguiente tabla: </w:t>
      </w: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244"/>
        <w:gridCol w:w="1548"/>
      </w:tblGrid>
      <w:tr w:rsidR="0038592A" w:rsidRPr="0038592A" w:rsidTr="009F567F">
        <w:trPr>
          <w:trHeight w:val="8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8592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SNIP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8592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NOMBRE PROYECTO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38592A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MONTO</w:t>
            </w:r>
          </w:p>
        </w:tc>
      </w:tr>
      <w:tr w:rsidR="0038592A" w:rsidRPr="0038592A" w:rsidTr="009F567F">
        <w:trPr>
          <w:trHeight w:val="300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val="es-DO" w:eastAsia="es-DO"/>
              </w:rPr>
            </w:pPr>
          </w:p>
        </w:tc>
      </w:tr>
      <w:tr w:rsidR="0038592A" w:rsidRPr="0038592A" w:rsidTr="009F567F">
        <w:trPr>
          <w:trHeight w:val="63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10193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MEJORAMIENTO ABASTECIMIENTO DE AGUA POTABLE, PROVINCIA SANTO DOMINGO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30,</w:t>
            </w:r>
            <w:r w:rsidR="00D82D9D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090,213</w:t>
            </w: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.00</w:t>
            </w:r>
          </w:p>
        </w:tc>
      </w:tr>
      <w:tr w:rsidR="0038592A" w:rsidRPr="0038592A" w:rsidTr="009F567F">
        <w:trPr>
          <w:trHeight w:val="63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3668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DEL ACUEDUCTO VALDESIA, PROVINCIAS, SANTO DOMINGO Y SAN CRISTOBAL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19,100,329.00</w:t>
            </w:r>
          </w:p>
        </w:tc>
      </w:tr>
      <w:tr w:rsidR="0038592A" w:rsidRPr="0038592A" w:rsidTr="009F567F">
        <w:trPr>
          <w:trHeight w:val="1305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2,713,119.00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12497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ACUEDUCTO MULTIPLE SAN FELIPE MAL NOMBRE, VILLA MELLA, PROVINCIA SANTO DOMINGO, MUNICIPIO SANTO DOMINGO NORTE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D82D9D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604,056.00</w:t>
            </w:r>
          </w:p>
        </w:tc>
      </w:tr>
      <w:tr w:rsidR="0038592A" w:rsidRPr="0038592A" w:rsidTr="009F567F">
        <w:trPr>
          <w:trHeight w:val="84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12494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PLANTA DE TRATAMIENTO los ALCARRIZOS, PROVINCIA SANTO DOMINGO, MUNICIPIO los alcarrizos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5,603,332.00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13090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RED DE DISTRIBUCION AGUA POTABLE, BARRIO LAS FLORES I Y II, PROVINCIA SANTO DOMINGO, MUNICIPIO SANTO DOMINGO ESTE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2,863,860.00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12355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EDIFICIO DE OFICINAS GERENCIA OPERACIONES DEL ESTE, PROVINCIA SANTO DOMINGO, MUNICIPIO SANTO DOMINGO ESTE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350,144.00</w:t>
            </w:r>
          </w:p>
        </w:tc>
      </w:tr>
      <w:tr w:rsidR="0038592A" w:rsidRPr="0038592A" w:rsidTr="009F567F">
        <w:trPr>
          <w:trHeight w:val="63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10185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MEJORAMIENTO REDES AGUA POTABLE EN EL DISTRITO NACIONAL, REGION OZAMA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1,560,939.00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HABILITACION DEL SISTEMAS DE PRODUCCION DE AGUA POTABLE, SECTOR LECHERIA, MANOGUAYABO, MUNICIPIO SANTO DOMINGO OESTE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5,208,790.00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13308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SISTEMA DE ALCANTARILLADO SANITARIO LOS ALCARRIZOS SUR, MUNICIPIO LOS ALCARRIZOS,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5,883,676.00</w:t>
            </w:r>
          </w:p>
        </w:tc>
      </w:tr>
      <w:tr w:rsidR="0038592A" w:rsidRPr="0038592A" w:rsidTr="009F567F">
        <w:trPr>
          <w:trHeight w:val="147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lastRenderedPageBreak/>
              <w:t>10192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HABILITACIÓN DE LAS REDES ELÉCTRICAS DE LOS SISTEMAS ISABELA, ISA-MANA Y PLANTA DE VALDESIA Y ESTACIÓN DE BOMBEO EL CALICHE, DISTRITO NACIONAL Y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3,097,660.00</w:t>
            </w:r>
          </w:p>
        </w:tc>
      </w:tr>
      <w:tr w:rsidR="0038592A" w:rsidRPr="0038592A" w:rsidTr="009F567F">
        <w:trPr>
          <w:trHeight w:val="84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AMPLIACIÓN SERVICIOS DE AGUA POTABLE EN EL MUNICIPIO SANTO DOMINGO ESTE,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7,454,256.00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12362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HABILITACION DEPOSITOS REGULADORES EN LOS MUNICIPIOS SANTO DOMINGO NORTE Y OESTE, LA PROVINCIA SANTO DOMINGO, REGION OZAMA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1,882,058.00</w:t>
            </w:r>
          </w:p>
        </w:tc>
      </w:tr>
      <w:tr w:rsidR="0038592A" w:rsidRPr="0038592A" w:rsidTr="009F567F">
        <w:trPr>
          <w:trHeight w:val="84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12391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PLANTA DE TRATAMIENTO los Americanos, PROVINCIA SANTO DOMINGO, MUNICIPIO los alcarrizos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1,130,499.00</w:t>
            </w:r>
          </w:p>
        </w:tc>
      </w:tr>
      <w:tr w:rsidR="0038592A" w:rsidRPr="0038592A" w:rsidTr="009F567F">
        <w:trPr>
          <w:trHeight w:val="84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SISTEMA HAINA MANOGUAYABO, MUNICIPIO SANTO DOMINGO OESTE,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26,248,958.00</w:t>
            </w:r>
          </w:p>
        </w:tc>
      </w:tr>
      <w:tr w:rsidR="0038592A" w:rsidRPr="0038592A" w:rsidTr="009F567F">
        <w:trPr>
          <w:trHeight w:val="168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10163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MEJORAMIENTO REDES AGUA POTABLE  PARA LOS  BARRIOS LOS OLIVOS, REPARTO ROSAS, LAS CAOBAS Y ENS. HERMANAS MIRABAL DEL CAFÉ DE HERRERA, MUNICIPIO SANTO DOMINGO OESTE,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316,680.00</w:t>
            </w:r>
          </w:p>
        </w:tc>
      </w:tr>
      <w:tr w:rsidR="0038592A" w:rsidRPr="0038592A" w:rsidTr="009F567F">
        <w:trPr>
          <w:trHeight w:val="126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12375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DE LA RED DE DISTRIBUCION DE AGUA POTABLE, BARRIO"INVI-LA VIRGEN,  MUNICIPIO SANTO DOMINGO NORTE, PROVINCIA SANTO DOMINGO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299,716.00</w:t>
            </w:r>
          </w:p>
        </w:tc>
      </w:tr>
      <w:tr w:rsidR="0038592A" w:rsidRPr="0038592A" w:rsidTr="009F567F">
        <w:trPr>
          <w:trHeight w:val="105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12354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CONSTRUCCION RED DE DISTRIBUCION AGUA POTABLE HIPODROMO V CENTENARIO, PROVINCIA SANTO DOMINGO, MUNICIPIO SANTO DOMINGO ESTE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1,458,265.00</w:t>
            </w:r>
          </w:p>
        </w:tc>
      </w:tr>
      <w:tr w:rsidR="008707F8" w:rsidRPr="0038592A" w:rsidTr="009F567F">
        <w:trPr>
          <w:trHeight w:val="30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</w:tcPr>
          <w:p w:rsidR="008707F8" w:rsidRPr="0038592A" w:rsidRDefault="008707F8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12509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</w:tcPr>
          <w:p w:rsidR="008707F8" w:rsidRPr="0038592A" w:rsidRDefault="008707F8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8707F8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CONSTRUCCIÓN DE LA ESTACION DEPURADORA DE AGUAS RESIDUALES DEL RIO OZAMA,  DISTRITO NACIONAL Y PROVINCIA SANTO DOMINGO, REGION OZAMA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</w:tcPr>
          <w:p w:rsidR="008707F8" w:rsidRPr="0038592A" w:rsidRDefault="008707F8" w:rsidP="008707F8">
            <w:pP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  104,508,627.00</w:t>
            </w:r>
          </w:p>
        </w:tc>
      </w:tr>
      <w:tr w:rsidR="0038592A" w:rsidRPr="0038592A" w:rsidTr="009F567F">
        <w:trPr>
          <w:trHeight w:val="30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PROYECTOS SIN SNIP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287,568,193.00</w:t>
            </w:r>
          </w:p>
        </w:tc>
      </w:tr>
      <w:tr w:rsidR="0038592A" w:rsidRPr="0038592A" w:rsidTr="009F567F">
        <w:trPr>
          <w:trHeight w:val="420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GASTO DE CAPITAL CIUDAD JUAN BOSCH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38592A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1,277,691.00</w:t>
            </w:r>
          </w:p>
        </w:tc>
      </w:tr>
      <w:tr w:rsidR="0038592A" w:rsidRPr="0038592A" w:rsidTr="009F567F">
        <w:trPr>
          <w:trHeight w:val="300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38592A" w:rsidP="0038592A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38592A" w:rsidP="0038592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</w:pPr>
            <w:r w:rsidRPr="0038592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2A" w:rsidRPr="0038592A" w:rsidRDefault="00D82D9D" w:rsidP="0038592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  <w:t>509,221,</w:t>
            </w:r>
            <w:r w:rsidR="008707F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  <w:t>61</w:t>
            </w:r>
            <w:r w:rsidR="008707F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DO" w:eastAsia="es-DO"/>
              </w:rPr>
              <w:t>.00</w:t>
            </w:r>
          </w:p>
        </w:tc>
      </w:tr>
    </w:tbl>
    <w:p w:rsidR="002E6FC3" w:rsidRPr="009C7555" w:rsidRDefault="002E6FC3" w:rsidP="00667AFD">
      <w:pPr>
        <w:jc w:val="both"/>
        <w:rPr>
          <w:rFonts w:ascii="Bookman Old Style" w:hAnsi="Bookman Old Style"/>
          <w:color w:val="auto"/>
          <w:sz w:val="24"/>
        </w:rPr>
      </w:pPr>
    </w:p>
    <w:p w:rsidR="006654C3" w:rsidRPr="009C7555" w:rsidRDefault="006654C3" w:rsidP="00D26F3F">
      <w:pPr>
        <w:jc w:val="both"/>
        <w:rPr>
          <w:rFonts w:ascii="Bookman Old Style" w:hAnsi="Bookman Old Style"/>
          <w:color w:val="auto"/>
          <w:sz w:val="24"/>
        </w:rPr>
      </w:pPr>
    </w:p>
    <w:p w:rsidR="007B2127" w:rsidRPr="009C7555" w:rsidRDefault="007B2127" w:rsidP="00787F67">
      <w:pPr>
        <w:tabs>
          <w:tab w:val="left" w:pos="5850"/>
        </w:tabs>
      </w:pPr>
    </w:p>
    <w:p w:rsidR="007B2127" w:rsidRDefault="007B2127" w:rsidP="006D4160"/>
    <w:p w:rsidR="006E1A51" w:rsidRDefault="009C03EF" w:rsidP="006E1A51">
      <w:pPr>
        <w:keepNext/>
      </w:pPr>
      <w:r>
        <w:rPr>
          <w:noProof/>
        </w:rPr>
        <w:lastRenderedPageBreak/>
        <w:drawing>
          <wp:inline distT="0" distB="0" distL="0" distR="0" wp14:anchorId="12472A44" wp14:editId="479C2F09">
            <wp:extent cx="5400040" cy="2631440"/>
            <wp:effectExtent l="0" t="0" r="10160" b="165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FA16DC" w:rsidRDefault="006E1A51" w:rsidP="006E1A51">
      <w:pPr>
        <w:pStyle w:val="Descripcin"/>
      </w:pPr>
      <w:r>
        <w:t xml:space="preserve">Ilustración </w:t>
      </w:r>
      <w:fldSimple w:instr=" SEQ Ilustración \* ARABIC ">
        <w:r w:rsidR="00676F6D">
          <w:rPr>
            <w:noProof/>
          </w:rPr>
          <w:t>1</w:t>
        </w:r>
      </w:fldSimple>
      <w:r>
        <w:t xml:space="preserve">: </w:t>
      </w:r>
      <w:r w:rsidR="00267A69">
        <w:t>Resumen de la Inversión en 2018</w:t>
      </w:r>
    </w:p>
    <w:p w:rsidR="00267A69" w:rsidRDefault="00EB23D2" w:rsidP="00267A69">
      <w:pPr>
        <w:keepNext/>
      </w:pPr>
      <w:r>
        <w:rPr>
          <w:noProof/>
        </w:rPr>
        <w:drawing>
          <wp:inline distT="0" distB="0" distL="0" distR="0" wp14:anchorId="52325BC4" wp14:editId="16BE928E">
            <wp:extent cx="5400040" cy="3913505"/>
            <wp:effectExtent l="0" t="0" r="10160" b="1079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2127" w:rsidRPr="009C7555" w:rsidRDefault="00267A69" w:rsidP="00267A69">
      <w:pPr>
        <w:pStyle w:val="Descripcin"/>
      </w:pPr>
      <w:r>
        <w:t xml:space="preserve">Ilustración </w:t>
      </w:r>
      <w:fldSimple w:instr=" SEQ Ilustración \* ARABIC ">
        <w:r w:rsidR="00676F6D">
          <w:rPr>
            <w:noProof/>
          </w:rPr>
          <w:t>2</w:t>
        </w:r>
      </w:fldSimple>
      <w:r>
        <w:t>:</w:t>
      </w:r>
      <w:r w:rsidRPr="00267A69">
        <w:t xml:space="preserve"> </w:t>
      </w:r>
      <w:r>
        <w:t>Evolución de la Inversión Durante 2018</w:t>
      </w:r>
    </w:p>
    <w:p w:rsidR="00FA16DC" w:rsidRDefault="00FA16DC" w:rsidP="006D4160"/>
    <w:sectPr w:rsidR="00FA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61" w:rsidRDefault="00FA6061" w:rsidP="007B2127">
      <w:pPr>
        <w:spacing w:before="0" w:after="0" w:line="240" w:lineRule="auto"/>
      </w:pPr>
      <w:r>
        <w:separator/>
      </w:r>
    </w:p>
  </w:endnote>
  <w:endnote w:type="continuationSeparator" w:id="0">
    <w:p w:rsidR="00FA6061" w:rsidRDefault="00FA6061" w:rsidP="007B21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229331"/>
      <w:docPartObj>
        <w:docPartGallery w:val="Page Numbers (Bottom of Page)"/>
        <w:docPartUnique/>
      </w:docPartObj>
    </w:sdtPr>
    <w:sdtEndPr/>
    <w:sdtContent>
      <w:p w:rsidR="0059351A" w:rsidRDefault="00667AFD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45C4">
          <w:rPr>
            <w:noProof/>
          </w:rPr>
          <w:t>4</w:t>
        </w:r>
        <w:r>
          <w:fldChar w:fldCharType="end"/>
        </w:r>
      </w:p>
    </w:sdtContent>
  </w:sdt>
  <w:p w:rsidR="0059351A" w:rsidRDefault="005935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61" w:rsidRDefault="00FA6061" w:rsidP="007B2127">
      <w:pPr>
        <w:spacing w:before="0" w:after="0" w:line="240" w:lineRule="auto"/>
      </w:pPr>
      <w:r>
        <w:separator/>
      </w:r>
    </w:p>
  </w:footnote>
  <w:footnote w:type="continuationSeparator" w:id="0">
    <w:p w:rsidR="00FA6061" w:rsidRDefault="00FA6061" w:rsidP="007B21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60"/>
    <w:rsid w:val="00000CFE"/>
    <w:rsid w:val="00017904"/>
    <w:rsid w:val="000928CC"/>
    <w:rsid w:val="000C6379"/>
    <w:rsid w:val="00113E87"/>
    <w:rsid w:val="001255A2"/>
    <w:rsid w:val="001559A9"/>
    <w:rsid w:val="001C37F0"/>
    <w:rsid w:val="00200150"/>
    <w:rsid w:val="002132D2"/>
    <w:rsid w:val="002355A0"/>
    <w:rsid w:val="00246AA0"/>
    <w:rsid w:val="00251FB0"/>
    <w:rsid w:val="00262EAE"/>
    <w:rsid w:val="00267A69"/>
    <w:rsid w:val="00272437"/>
    <w:rsid w:val="0027660E"/>
    <w:rsid w:val="002879D0"/>
    <w:rsid w:val="002A482D"/>
    <w:rsid w:val="002E6FC3"/>
    <w:rsid w:val="002F6577"/>
    <w:rsid w:val="00346C4B"/>
    <w:rsid w:val="0037152B"/>
    <w:rsid w:val="00372552"/>
    <w:rsid w:val="0038592A"/>
    <w:rsid w:val="003B1E32"/>
    <w:rsid w:val="003B3232"/>
    <w:rsid w:val="003E5769"/>
    <w:rsid w:val="003E6117"/>
    <w:rsid w:val="0042203B"/>
    <w:rsid w:val="0043788B"/>
    <w:rsid w:val="004444F4"/>
    <w:rsid w:val="0046791A"/>
    <w:rsid w:val="00476136"/>
    <w:rsid w:val="0048476F"/>
    <w:rsid w:val="00496A13"/>
    <w:rsid w:val="004A0611"/>
    <w:rsid w:val="005372BD"/>
    <w:rsid w:val="0059351A"/>
    <w:rsid w:val="005B4279"/>
    <w:rsid w:val="005D347D"/>
    <w:rsid w:val="00607656"/>
    <w:rsid w:val="006530F5"/>
    <w:rsid w:val="006654C3"/>
    <w:rsid w:val="006658B9"/>
    <w:rsid w:val="00667AFD"/>
    <w:rsid w:val="00676F6D"/>
    <w:rsid w:val="00692CC6"/>
    <w:rsid w:val="006944B1"/>
    <w:rsid w:val="006A6A4F"/>
    <w:rsid w:val="006B11BE"/>
    <w:rsid w:val="006D4160"/>
    <w:rsid w:val="006E1A51"/>
    <w:rsid w:val="006E4E0D"/>
    <w:rsid w:val="007445C4"/>
    <w:rsid w:val="007803A4"/>
    <w:rsid w:val="007815AB"/>
    <w:rsid w:val="00782EB9"/>
    <w:rsid w:val="00787F67"/>
    <w:rsid w:val="007B2127"/>
    <w:rsid w:val="007D4C54"/>
    <w:rsid w:val="007F62EB"/>
    <w:rsid w:val="007F77CD"/>
    <w:rsid w:val="0080494A"/>
    <w:rsid w:val="008508C8"/>
    <w:rsid w:val="00852BF7"/>
    <w:rsid w:val="0085565C"/>
    <w:rsid w:val="008627EF"/>
    <w:rsid w:val="008707F8"/>
    <w:rsid w:val="0087097A"/>
    <w:rsid w:val="008D058B"/>
    <w:rsid w:val="009267D1"/>
    <w:rsid w:val="00975241"/>
    <w:rsid w:val="009A25AA"/>
    <w:rsid w:val="009A4330"/>
    <w:rsid w:val="009C03EF"/>
    <w:rsid w:val="009C21EF"/>
    <w:rsid w:val="009C7555"/>
    <w:rsid w:val="009D2C5A"/>
    <w:rsid w:val="009E1323"/>
    <w:rsid w:val="009F3F03"/>
    <w:rsid w:val="009F567F"/>
    <w:rsid w:val="00A22FB4"/>
    <w:rsid w:val="00A2688D"/>
    <w:rsid w:val="00A36431"/>
    <w:rsid w:val="00AF21F5"/>
    <w:rsid w:val="00B34741"/>
    <w:rsid w:val="00B82B66"/>
    <w:rsid w:val="00BB0E66"/>
    <w:rsid w:val="00BD5BD1"/>
    <w:rsid w:val="00BD6244"/>
    <w:rsid w:val="00C41DE0"/>
    <w:rsid w:val="00C7194C"/>
    <w:rsid w:val="00C77126"/>
    <w:rsid w:val="00CD5965"/>
    <w:rsid w:val="00CF0FFC"/>
    <w:rsid w:val="00CF640F"/>
    <w:rsid w:val="00D15F87"/>
    <w:rsid w:val="00D20828"/>
    <w:rsid w:val="00D26F3F"/>
    <w:rsid w:val="00D35E11"/>
    <w:rsid w:val="00D82D9D"/>
    <w:rsid w:val="00DB4DA5"/>
    <w:rsid w:val="00DF1112"/>
    <w:rsid w:val="00E71D7B"/>
    <w:rsid w:val="00E75A38"/>
    <w:rsid w:val="00E9182F"/>
    <w:rsid w:val="00EB1158"/>
    <w:rsid w:val="00EB23D2"/>
    <w:rsid w:val="00EE3B4A"/>
    <w:rsid w:val="00F0503F"/>
    <w:rsid w:val="00F825D7"/>
    <w:rsid w:val="00FA16DC"/>
    <w:rsid w:val="00FA6061"/>
    <w:rsid w:val="00FC3BF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1B8CE"/>
  <w15:chartTrackingRefBased/>
  <w15:docId w15:val="{9A3292AE-CB7D-4D06-BA38-B570525F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60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6D4160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5B9BD5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6D4160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6D4160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6D4160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en-US" w:eastAsia="ja-JP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B212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27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6F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6FC3"/>
    <w:rPr>
      <w:i/>
      <w:iCs/>
      <w:color w:val="5B9BD5" w:themeColor="accent1"/>
      <w:kern w:val="20"/>
      <w:sz w:val="20"/>
      <w:szCs w:val="20"/>
      <w:lang w:val="en-U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6654C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6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0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table" w:styleId="Tablaconcuadrcula">
    <w:name w:val="Table Grid"/>
    <w:basedOn w:val="Tablanormal"/>
    <w:uiPriority w:val="39"/>
    <w:rsid w:val="0049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zhnev.sosa\Documents\Reporte%20de%20Seguimiento%20Obras\Reporte%20Mayo%202018\Hoja%20de%20Trabajo%20May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ezhnev.sosa\Documents\Reporte%20de%20Seguimiento%20Obras\Reporte%20Mayo%202018\Hoja%20de%20Trabajo%20May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2C3-4441-9214-DC55D01B0400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2C3-4441-9214-DC55D01B0400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509,221,061.00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08-4E16-9206-25F9963CF49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1,165,262,412.00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07-40AC-A55E-687F7378C42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2,569,737,588.00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07-40AC-A55E-687F7378C4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'Res.Ejec'!$C$2:$F$2</c:f>
              <c:strCache>
                <c:ptCount val="4"/>
                <c:pt idx="0">
                  <c:v>PRESUPUESTADO PARA EL 2018</c:v>
                </c:pt>
                <c:pt idx="1">
                  <c:v>PAGADO EN EL MES</c:v>
                </c:pt>
                <c:pt idx="2">
                  <c:v>PAGADO DURANTE EL AÑO</c:v>
                </c:pt>
                <c:pt idx="3">
                  <c:v>INVERSION RESTANTE</c:v>
                </c:pt>
              </c:strCache>
            </c:strRef>
          </c:cat>
          <c:val>
            <c:numRef>
              <c:f>'Res.Ejec'!$C$5:$F$5</c:f>
              <c:numCache>
                <c:formatCode>#,##0.00</c:formatCode>
                <c:ptCount val="4"/>
                <c:pt idx="0">
                  <c:v>3735000000</c:v>
                </c:pt>
                <c:pt idx="1">
                  <c:v>406348863</c:v>
                </c:pt>
                <c:pt idx="2">
                  <c:v>1058675915.91</c:v>
                </c:pt>
                <c:pt idx="3">
                  <c:v>2676324084.0900002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C3-4441-9214-DC55D01B04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1000480"/>
        <c:axId val="291004008"/>
      </c:barChart>
      <c:catAx>
        <c:axId val="2910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4008"/>
        <c:crosses val="autoZero"/>
        <c:auto val="1"/>
        <c:lblAlgn val="ctr"/>
        <c:lblOffset val="100"/>
        <c:noMultiLvlLbl val="0"/>
      </c:catAx>
      <c:valAx>
        <c:axId val="29100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19,783,533.00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BC-4A7D-80AE-6E5877FADA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273,153,725.00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BC-4A7D-80AE-6E5877FADA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290,658703.00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BC-4A7D-80AE-6E5877FADA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509,221,061.00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D-47E3-854B-646BBF7C24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2018'!$C$9:$N$9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2018'!$C$31:$N$31</c:f>
              <c:numCache>
                <c:formatCode>#,##0.00</c:formatCode>
                <c:ptCount val="12"/>
                <c:pt idx="0">
                  <c:v>18126624</c:v>
                </c:pt>
                <c:pt idx="1">
                  <c:v>271899689.90999997</c:v>
                </c:pt>
                <c:pt idx="2">
                  <c:v>289855349</c:v>
                </c:pt>
                <c:pt idx="3">
                  <c:v>72445390</c:v>
                </c:pt>
                <c:pt idx="4">
                  <c:v>406348863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1-4A6D-A28D-143D2A7B67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1002048"/>
        <c:axId val="291006752"/>
      </c:barChart>
      <c:catAx>
        <c:axId val="29100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6752"/>
        <c:crosses val="autoZero"/>
        <c:auto val="1"/>
        <c:lblAlgn val="ctr"/>
        <c:lblOffset val="100"/>
        <c:noMultiLvlLbl val="0"/>
      </c:catAx>
      <c:valAx>
        <c:axId val="29100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9100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A84B83EF842218467AD76810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EFF4-6057-4BC7-84E1-1CECB3EDC8C4}"/>
      </w:docPartPr>
      <w:docPartBody>
        <w:p w:rsidR="00EE1E11" w:rsidRDefault="00862915" w:rsidP="00862915">
          <w:pPr>
            <w:pStyle w:val="63FA84B83EF842218467AD768107319F"/>
          </w:pPr>
          <w:r>
            <w:t>Annual</w:t>
          </w:r>
          <w:r>
            <w:br/>
            <w:t>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15"/>
    <w:rsid w:val="000C7452"/>
    <w:rsid w:val="001114FE"/>
    <w:rsid w:val="002D7752"/>
    <w:rsid w:val="003011AD"/>
    <w:rsid w:val="00477400"/>
    <w:rsid w:val="0069308A"/>
    <w:rsid w:val="00862915"/>
    <w:rsid w:val="008F09F0"/>
    <w:rsid w:val="00935AC3"/>
    <w:rsid w:val="00A41C55"/>
    <w:rsid w:val="00A93EE5"/>
    <w:rsid w:val="00C16729"/>
    <w:rsid w:val="00C53662"/>
    <w:rsid w:val="00D04B2E"/>
    <w:rsid w:val="00EE1E11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FA84B83EF842218467AD768107319F">
    <w:name w:val="63FA84B83EF842218467AD768107319F"/>
    <w:rsid w:val="00862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E234-38AC-45F1-A857-26F42F0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subject/>
  <dc:creator>Brezhnev Rafael Sosa Solano</dc:creator>
  <cp:keywords/>
  <dc:description/>
  <cp:lastModifiedBy>Sergio M. Polanco Albuerne</cp:lastModifiedBy>
  <cp:revision>16</cp:revision>
  <cp:lastPrinted>2018-06-06T19:58:00Z</cp:lastPrinted>
  <dcterms:created xsi:type="dcterms:W3CDTF">2018-05-18T15:07:00Z</dcterms:created>
  <dcterms:modified xsi:type="dcterms:W3CDTF">2018-06-08T19:37:00Z</dcterms:modified>
</cp:coreProperties>
</file>