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0D" w:rsidRPr="001A2610" w:rsidRDefault="0024600D" w:rsidP="0024600D">
      <w:pPr>
        <w:autoSpaceDE w:val="0"/>
        <w:autoSpaceDN w:val="0"/>
        <w:jc w:val="center"/>
        <w:rPr>
          <w:rFonts w:ascii="Arial Narrow" w:hAnsi="Arial Narrow" w:cs="Arial"/>
          <w:sz w:val="28"/>
          <w:szCs w:val="28"/>
        </w:rPr>
      </w:pPr>
      <w:bookmarkStart w:id="0" w:name="_Toc271530521"/>
      <w:bookmarkStart w:id="1" w:name="_Toc410128608"/>
      <w:r>
        <w:rPr>
          <w:rFonts w:ascii="Arial Narrow" w:hAnsi="Arial Narrow" w:cs="Arial"/>
          <w:noProof/>
          <w:sz w:val="28"/>
          <w:szCs w:val="28"/>
          <w:lang w:eastAsia="es-DO"/>
        </w:rPr>
        <w:drawing>
          <wp:inline distT="0" distB="0" distL="0" distR="0" wp14:anchorId="448746B1" wp14:editId="14AFBE68">
            <wp:extent cx="750000" cy="920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Caasd_2.png"/>
                    <pic:cNvPicPr/>
                  </pic:nvPicPr>
                  <pic:blipFill>
                    <a:blip r:embed="rId8">
                      <a:extLst>
                        <a:ext uri="{28A0092B-C50C-407E-A947-70E740481C1C}">
                          <a14:useLocalDpi xmlns:a14="http://schemas.microsoft.com/office/drawing/2010/main" val="0"/>
                        </a:ext>
                      </a:extLst>
                    </a:blip>
                    <a:stretch>
                      <a:fillRect/>
                    </a:stretch>
                  </pic:blipFill>
                  <pic:spPr>
                    <a:xfrm>
                      <a:off x="0" y="0"/>
                      <a:ext cx="750000" cy="920000"/>
                    </a:xfrm>
                    <a:prstGeom prst="rect">
                      <a:avLst/>
                    </a:prstGeom>
                  </pic:spPr>
                </pic:pic>
              </a:graphicData>
            </a:graphic>
          </wp:inline>
        </w:drawing>
      </w:r>
    </w:p>
    <w:p w:rsidR="0024600D" w:rsidRPr="0024600D" w:rsidRDefault="0024600D" w:rsidP="0024600D">
      <w:pPr>
        <w:autoSpaceDE w:val="0"/>
        <w:autoSpaceDN w:val="0"/>
        <w:jc w:val="center"/>
        <w:rPr>
          <w:rFonts w:cs="Arial"/>
          <w:b/>
          <w:lang w:val="es-ES"/>
        </w:rPr>
      </w:pPr>
      <w:r w:rsidRPr="0024600D">
        <w:rPr>
          <w:rFonts w:cs="Arial"/>
          <w:b/>
          <w:lang w:val="es-ES"/>
        </w:rPr>
        <w:t>Corporación Del Acueducto y Alcantarillado de Santo Domingo</w:t>
      </w:r>
    </w:p>
    <w:p w:rsidR="0024600D" w:rsidRPr="0024600D" w:rsidRDefault="0024600D" w:rsidP="0024600D">
      <w:pPr>
        <w:autoSpaceDE w:val="0"/>
        <w:autoSpaceDN w:val="0"/>
        <w:jc w:val="center"/>
        <w:rPr>
          <w:rFonts w:cs="Arial"/>
          <w:b/>
          <w:lang w:val="es-ES"/>
        </w:rPr>
      </w:pPr>
      <w:r w:rsidRPr="0024600D">
        <w:rPr>
          <w:rFonts w:cs="Arial"/>
          <w:b/>
          <w:lang w:val="es-ES"/>
        </w:rPr>
        <w:t xml:space="preserve">“Año </w:t>
      </w:r>
      <w:r w:rsidR="00BC0B50">
        <w:rPr>
          <w:rFonts w:cs="Arial"/>
          <w:b/>
          <w:lang w:val="es-ES"/>
        </w:rPr>
        <w:t>del Fomento de la Vivienda</w:t>
      </w:r>
      <w:r w:rsidRPr="0024600D">
        <w:rPr>
          <w:rFonts w:cs="Arial"/>
          <w:b/>
          <w:lang w:val="es-ES"/>
        </w:rPr>
        <w:t>”</w:t>
      </w:r>
    </w:p>
    <w:p w:rsidR="0024600D" w:rsidRPr="0024600D" w:rsidRDefault="0024600D" w:rsidP="0024600D">
      <w:pPr>
        <w:pStyle w:val="Ttulo3"/>
        <w:jc w:val="center"/>
        <w:rPr>
          <w:rFonts w:asciiTheme="minorHAnsi" w:hAnsiTheme="minorHAnsi"/>
        </w:rPr>
      </w:pPr>
    </w:p>
    <w:p w:rsidR="0024600D" w:rsidRPr="0024600D" w:rsidRDefault="0024600D" w:rsidP="0024600D">
      <w:pPr>
        <w:autoSpaceDE w:val="0"/>
        <w:autoSpaceDN w:val="0"/>
        <w:jc w:val="center"/>
        <w:rPr>
          <w:rStyle w:val="Style6"/>
          <w:rFonts w:asciiTheme="minorHAnsi" w:hAnsiTheme="minorHAnsi"/>
          <w:sz w:val="36"/>
        </w:rPr>
      </w:pPr>
      <w:r w:rsidRPr="0024600D">
        <w:rPr>
          <w:rStyle w:val="Style6"/>
          <w:rFonts w:asciiTheme="minorHAnsi" w:hAnsiTheme="minorHAnsi"/>
          <w:sz w:val="40"/>
        </w:rPr>
        <w:t>Adquisición de Dos Millones Cuatrocientos Mil Libras de Gas Cloro</w:t>
      </w:r>
    </w:p>
    <w:p w:rsidR="0024600D" w:rsidRPr="0024600D" w:rsidRDefault="0024600D" w:rsidP="0024600D">
      <w:pPr>
        <w:pStyle w:val="Ttulo3"/>
        <w:jc w:val="center"/>
        <w:rPr>
          <w:rFonts w:asciiTheme="minorHAnsi" w:hAnsiTheme="minorHAnsi"/>
          <w:lang w:val="es-DO"/>
        </w:rPr>
      </w:pPr>
    </w:p>
    <w:p w:rsidR="0024600D" w:rsidRPr="0024600D" w:rsidRDefault="0024600D" w:rsidP="0024600D">
      <w:pPr>
        <w:pStyle w:val="Ttulo3"/>
        <w:jc w:val="center"/>
        <w:rPr>
          <w:rFonts w:asciiTheme="minorHAnsi" w:hAnsiTheme="minorHAnsi"/>
        </w:rPr>
      </w:pPr>
      <w:r w:rsidRPr="0024600D">
        <w:rPr>
          <w:rFonts w:asciiTheme="minorHAnsi" w:hAnsiTheme="minorHAnsi"/>
        </w:rPr>
        <w:t>Licitación Pública Nacional</w:t>
      </w:r>
    </w:p>
    <w:p w:rsidR="0024600D" w:rsidRPr="0024600D" w:rsidRDefault="0024600D" w:rsidP="0024600D">
      <w:pPr>
        <w:pStyle w:val="Ttulo3"/>
        <w:jc w:val="center"/>
        <w:rPr>
          <w:rFonts w:asciiTheme="minorHAnsi" w:hAnsiTheme="minorHAnsi"/>
        </w:rPr>
      </w:pPr>
      <w:r w:rsidRPr="0024600D">
        <w:rPr>
          <w:rFonts w:asciiTheme="minorHAnsi" w:hAnsiTheme="minorHAnsi"/>
        </w:rPr>
        <w:t>Referencia: CAASD-LPN-04-2015</w:t>
      </w:r>
    </w:p>
    <w:p w:rsidR="0024600D" w:rsidRPr="0024600D" w:rsidRDefault="0024600D" w:rsidP="0024600D">
      <w:pPr>
        <w:pStyle w:val="Ttulo3"/>
        <w:jc w:val="center"/>
        <w:rPr>
          <w:rFonts w:asciiTheme="minorHAnsi" w:hAnsiTheme="minorHAnsi"/>
        </w:rPr>
      </w:pPr>
    </w:p>
    <w:p w:rsidR="0024600D" w:rsidRPr="0024600D" w:rsidRDefault="0024600D" w:rsidP="0024600D">
      <w:pPr>
        <w:pStyle w:val="Ttulo3"/>
        <w:jc w:val="center"/>
        <w:rPr>
          <w:rFonts w:asciiTheme="minorHAnsi" w:hAnsiTheme="minorHAnsi"/>
        </w:rPr>
      </w:pPr>
      <w:r w:rsidRPr="0024600D">
        <w:rPr>
          <w:rFonts w:asciiTheme="minorHAnsi" w:hAnsiTheme="minorHAnsi"/>
        </w:rPr>
        <w:t>Adenda No.1</w:t>
      </w:r>
    </w:p>
    <w:p w:rsidR="0024600D" w:rsidRPr="003F05AD" w:rsidRDefault="0024600D" w:rsidP="0024600D">
      <w:pPr>
        <w:jc w:val="center"/>
        <w:rPr>
          <w:rFonts w:ascii="Arial Narrow" w:hAnsi="Arial Narrow" w:cs="Arial"/>
          <w:b/>
          <w:lang w:val="es-ES"/>
        </w:rPr>
      </w:pPr>
      <w:r>
        <w:rPr>
          <w:rFonts w:ascii="Arial Narrow" w:hAnsi="Arial Narrow" w:cs="Arial"/>
          <w:b/>
          <w:lang w:val="es-ES"/>
        </w:rPr>
        <w:t>0</w:t>
      </w:r>
      <w:r w:rsidR="002C1FA8">
        <w:rPr>
          <w:rFonts w:ascii="Arial Narrow" w:hAnsi="Arial Narrow" w:cs="Arial"/>
          <w:b/>
          <w:lang w:val="es-ES"/>
        </w:rPr>
        <w:t>5</w:t>
      </w:r>
      <w:bookmarkStart w:id="2" w:name="_GoBack"/>
      <w:bookmarkEnd w:id="2"/>
      <w:r w:rsidRPr="003F05AD">
        <w:rPr>
          <w:rFonts w:ascii="Arial Narrow" w:hAnsi="Arial Narrow" w:cs="Arial"/>
          <w:b/>
          <w:lang w:val="es-ES"/>
        </w:rPr>
        <w:t xml:space="preserve"> de </w:t>
      </w:r>
      <w:r>
        <w:rPr>
          <w:rFonts w:ascii="Arial Narrow" w:hAnsi="Arial Narrow" w:cs="Arial"/>
          <w:b/>
          <w:lang w:val="es-ES"/>
        </w:rPr>
        <w:t>Febrero</w:t>
      </w:r>
      <w:r w:rsidRPr="003F05AD">
        <w:rPr>
          <w:rFonts w:ascii="Arial Narrow" w:hAnsi="Arial Narrow" w:cs="Arial"/>
          <w:b/>
          <w:lang w:val="es-ES"/>
        </w:rPr>
        <w:t xml:space="preserve"> 201</w:t>
      </w:r>
      <w:r>
        <w:rPr>
          <w:rFonts w:ascii="Arial Narrow" w:hAnsi="Arial Narrow" w:cs="Arial"/>
          <w:b/>
          <w:lang w:val="es-ES"/>
        </w:rPr>
        <w:t>6</w:t>
      </w:r>
    </w:p>
    <w:p w:rsidR="0024600D" w:rsidRDefault="0024600D" w:rsidP="0024600D">
      <w:pPr>
        <w:rPr>
          <w:lang w:val="es-ES"/>
        </w:rPr>
      </w:pPr>
    </w:p>
    <w:p w:rsidR="0024600D" w:rsidRPr="002F337A" w:rsidRDefault="0024600D" w:rsidP="0024600D">
      <w:pPr>
        <w:jc w:val="both"/>
        <w:rPr>
          <w:b/>
        </w:rPr>
      </w:pPr>
      <w:r w:rsidRPr="003F05AD">
        <w:rPr>
          <w:rFonts w:ascii="Arial Narrow" w:hAnsi="Arial Narrow" w:cs="Arial"/>
        </w:rPr>
        <w:t xml:space="preserve">De acuerdo y apegado a la ley 340-06 sobre Compras y Contrataciones Públicas y lo descrito en su artículo 18 Párrafo III, y en este pliego de condiciones específicas en su acápite 1.29,  la Corporación del Acueducto y Alcantarillado de Santo Domingo procede a realizar la adenda o enmienda No. 1 al Pliego de la Licitación Pública Nacional Referencia </w:t>
      </w:r>
      <w:r w:rsidRPr="00BC0B50">
        <w:rPr>
          <w:rFonts w:ascii="Arial Narrow" w:hAnsi="Arial Narrow" w:cs="Arial"/>
          <w:b/>
        </w:rPr>
        <w:t>CAASD-LPN-04-2015</w:t>
      </w:r>
      <w:r w:rsidR="002F337A">
        <w:rPr>
          <w:b/>
        </w:rPr>
        <w:t>.</w:t>
      </w:r>
    </w:p>
    <w:p w:rsidR="0024600D" w:rsidRPr="0024600D" w:rsidRDefault="0024600D" w:rsidP="0024600D">
      <w:pPr>
        <w:pStyle w:val="Prrafodelista"/>
        <w:numPr>
          <w:ilvl w:val="0"/>
          <w:numId w:val="5"/>
        </w:numPr>
        <w:jc w:val="both"/>
        <w:rPr>
          <w:rFonts w:cs="Arial"/>
          <w:b/>
        </w:rPr>
      </w:pPr>
      <w:r w:rsidRPr="0024600D">
        <w:rPr>
          <w:b/>
        </w:rPr>
        <w:t>Se modifica el acápite 2.14 Documentación a Presentar</w:t>
      </w:r>
      <w:bookmarkEnd w:id="0"/>
      <w:bookmarkEnd w:id="1"/>
      <w:r w:rsidRPr="0024600D">
        <w:rPr>
          <w:b/>
        </w:rPr>
        <w:t xml:space="preserve"> Literal C.</w:t>
      </w:r>
      <w:r w:rsidRPr="0024600D">
        <w:rPr>
          <w:rFonts w:cs="Arial"/>
          <w:b/>
        </w:rPr>
        <w:t xml:space="preserve"> Documentación Técnica Numeral 4. Historial de Cumplimiento  que en lo adelante se leerá como sigue:</w:t>
      </w:r>
    </w:p>
    <w:p w:rsidR="0024600D" w:rsidRPr="0024600D" w:rsidRDefault="0024600D" w:rsidP="0024600D">
      <w:pPr>
        <w:pStyle w:val="Prrafodelista"/>
        <w:ind w:left="1068"/>
        <w:jc w:val="both"/>
        <w:rPr>
          <w:rFonts w:asciiTheme="minorHAnsi" w:hAnsiTheme="minorHAnsi" w:cs="Arial"/>
        </w:rPr>
      </w:pPr>
    </w:p>
    <w:p w:rsidR="0024600D" w:rsidRPr="0024600D" w:rsidRDefault="0024600D" w:rsidP="0024600D">
      <w:pPr>
        <w:pStyle w:val="Prrafodelista"/>
        <w:numPr>
          <w:ilvl w:val="0"/>
          <w:numId w:val="4"/>
        </w:numPr>
        <w:ind w:firstLine="0"/>
        <w:jc w:val="both"/>
        <w:rPr>
          <w:rFonts w:asciiTheme="minorHAnsi" w:hAnsiTheme="minorHAnsi" w:cs="Arial"/>
        </w:rPr>
      </w:pPr>
      <w:r w:rsidRPr="0024600D">
        <w:rPr>
          <w:rFonts w:asciiTheme="minorHAnsi" w:hAnsiTheme="minorHAnsi" w:cs="Arial"/>
        </w:rPr>
        <w:t xml:space="preserve">Historial de Cumplimiento </w:t>
      </w:r>
    </w:p>
    <w:p w:rsidR="0024600D" w:rsidRPr="0024600D" w:rsidRDefault="0024600D" w:rsidP="0024600D">
      <w:pPr>
        <w:pStyle w:val="Prrafodelista"/>
        <w:ind w:left="1068"/>
        <w:jc w:val="both"/>
        <w:rPr>
          <w:rFonts w:asciiTheme="minorHAnsi" w:hAnsiTheme="minorHAnsi" w:cs="Arial"/>
        </w:rPr>
      </w:pPr>
    </w:p>
    <w:p w:rsidR="0024600D" w:rsidRPr="0024600D" w:rsidRDefault="0024600D" w:rsidP="0024600D">
      <w:pPr>
        <w:spacing w:line="240" w:lineRule="auto"/>
        <w:jc w:val="both"/>
        <w:rPr>
          <w:rFonts w:cs="Arial"/>
          <w:sz w:val="24"/>
          <w:szCs w:val="24"/>
        </w:rPr>
      </w:pPr>
      <w:r w:rsidRPr="0024600D">
        <w:rPr>
          <w:rFonts w:cs="Arial"/>
          <w:sz w:val="24"/>
          <w:szCs w:val="24"/>
        </w:rPr>
        <w:t>Copia de Contratos entre los años (2012, 2013, 2014), en territorio  nacional, similares con el objeto de la presente Licitación y sus montos, para la provisión de Gas Cloro, en instituciones estatales.  En caso de que sean privadas, deberán de presentar órdenes de compras, junto con las facturas comerciales recibidas con NCF que confirmen dichas órdenes con sus montos.</w:t>
      </w:r>
    </w:p>
    <w:p w:rsidR="0024600D" w:rsidRPr="0024600D" w:rsidRDefault="0024600D" w:rsidP="0024600D">
      <w:pPr>
        <w:pStyle w:val="Prrafodelista"/>
        <w:ind w:left="1068"/>
        <w:jc w:val="both"/>
        <w:rPr>
          <w:rFonts w:asciiTheme="minorHAnsi" w:hAnsiTheme="minorHAnsi" w:cs="Arial"/>
        </w:rPr>
      </w:pPr>
    </w:p>
    <w:p w:rsidR="0024600D" w:rsidRDefault="0024600D" w:rsidP="0024600D">
      <w:pPr>
        <w:pStyle w:val="Ttulo3"/>
        <w:numPr>
          <w:ilvl w:val="0"/>
          <w:numId w:val="5"/>
        </w:numPr>
        <w:rPr>
          <w:rFonts w:asciiTheme="minorHAnsi" w:hAnsiTheme="minorHAnsi"/>
        </w:rPr>
      </w:pPr>
      <w:r w:rsidRPr="0024600D">
        <w:rPr>
          <w:rFonts w:asciiTheme="minorHAnsi" w:hAnsiTheme="minorHAnsi"/>
        </w:rPr>
        <w:t xml:space="preserve">Se modifica el acápite </w:t>
      </w:r>
      <w:bookmarkStart w:id="3" w:name="_Toc410128652"/>
      <w:r w:rsidRPr="0024600D">
        <w:rPr>
          <w:rFonts w:asciiTheme="minorHAnsi" w:hAnsiTheme="minorHAnsi"/>
        </w:rPr>
        <w:t>6.1 Requisitos de Entrega</w:t>
      </w:r>
      <w:bookmarkEnd w:id="3"/>
      <w:r w:rsidRPr="0024600D">
        <w:rPr>
          <w:rFonts w:asciiTheme="minorHAnsi" w:hAnsiTheme="minorHAnsi"/>
        </w:rPr>
        <w:t xml:space="preserve"> Literal B) </w:t>
      </w:r>
      <w:r w:rsidRPr="0024600D">
        <w:rPr>
          <w:rFonts w:asciiTheme="minorHAnsi" w:hAnsiTheme="minorHAnsi" w:cs="Palatino Linotype,Bold"/>
          <w:bCs w:val="0"/>
          <w:color w:val="000000" w:themeColor="text1"/>
        </w:rPr>
        <w:t>Plazo de Entrega</w:t>
      </w:r>
      <w:r w:rsidRPr="0024600D">
        <w:rPr>
          <w:rFonts w:asciiTheme="minorHAnsi" w:hAnsiTheme="minorHAnsi"/>
        </w:rPr>
        <w:t xml:space="preserve"> que en lo adelante se leerá como sigue</w:t>
      </w:r>
      <w:r>
        <w:rPr>
          <w:rFonts w:asciiTheme="minorHAnsi" w:hAnsiTheme="minorHAnsi"/>
        </w:rPr>
        <w:t xml:space="preserve">: </w:t>
      </w:r>
    </w:p>
    <w:p w:rsidR="0024600D" w:rsidRPr="0024600D" w:rsidRDefault="0024600D" w:rsidP="0024600D">
      <w:pPr>
        <w:jc w:val="both"/>
        <w:rPr>
          <w:rFonts w:cs="Arial"/>
          <w:lang w:val="es-ES"/>
        </w:rPr>
      </w:pPr>
    </w:p>
    <w:p w:rsidR="0024600D" w:rsidRPr="0024600D" w:rsidRDefault="0024600D" w:rsidP="0024600D">
      <w:pPr>
        <w:pStyle w:val="Ttulo3"/>
        <w:rPr>
          <w:rFonts w:asciiTheme="minorHAnsi" w:hAnsiTheme="minorHAnsi"/>
          <w:b w:val="0"/>
        </w:rPr>
      </w:pPr>
      <w:r w:rsidRPr="0024600D">
        <w:rPr>
          <w:rFonts w:asciiTheme="minorHAnsi" w:hAnsiTheme="minorHAnsi" w:cs="Palatino Linotype,Bold"/>
          <w:b w:val="0"/>
          <w:bCs w:val="0"/>
          <w:color w:val="000000" w:themeColor="text1"/>
        </w:rPr>
        <w:t xml:space="preserve">B) Plazo de Entrega: El Proveedor </w:t>
      </w:r>
      <w:r w:rsidRPr="0024600D">
        <w:rPr>
          <w:rFonts w:asciiTheme="minorHAnsi" w:hAnsiTheme="minorHAnsi" w:cs="Palatino Linotype"/>
          <w:b w:val="0"/>
          <w:color w:val="000000" w:themeColor="text1"/>
        </w:rPr>
        <w:t xml:space="preserve">tendrá  a partir de la firma del contrato, el plazo de </w:t>
      </w:r>
      <w:r w:rsidRPr="0024600D">
        <w:rPr>
          <w:rFonts w:asciiTheme="minorHAnsi" w:hAnsiTheme="minorHAnsi"/>
          <w:b w:val="0"/>
        </w:rPr>
        <w:t xml:space="preserve">07 días calendarios en horario regular, para poder realizar la primera entrega y a partir de </w:t>
      </w:r>
      <w:r w:rsidRPr="0024600D">
        <w:rPr>
          <w:rFonts w:asciiTheme="minorHAnsi" w:hAnsiTheme="minorHAnsi"/>
          <w:b w:val="0"/>
        </w:rPr>
        <w:lastRenderedPageBreak/>
        <w:t>esta, deberá de realizar las siguientes entregas cada 30 días hasta la finalización de las cantidades adjudicadas. El proveedor que incumpla con el cronograma de entrega será descalificado.</w:t>
      </w:r>
    </w:p>
    <w:p w:rsidR="0024600D" w:rsidRDefault="0024600D" w:rsidP="0024600D">
      <w:pPr>
        <w:jc w:val="center"/>
        <w:rPr>
          <w:b/>
          <w:sz w:val="32"/>
          <w:lang w:val="es-ES"/>
        </w:rPr>
      </w:pPr>
    </w:p>
    <w:p w:rsidR="0024600D" w:rsidRPr="0024600D" w:rsidRDefault="0024600D" w:rsidP="0024600D">
      <w:pPr>
        <w:jc w:val="center"/>
        <w:rPr>
          <w:b/>
          <w:sz w:val="28"/>
          <w:lang w:val="es-ES"/>
        </w:rPr>
      </w:pPr>
      <w:r w:rsidRPr="0024600D">
        <w:rPr>
          <w:b/>
          <w:sz w:val="28"/>
          <w:lang w:val="es-ES"/>
        </w:rPr>
        <w:t>Cronograma de Entrega</w:t>
      </w:r>
    </w:p>
    <w:tbl>
      <w:tblPr>
        <w:tblW w:w="5943" w:type="dxa"/>
        <w:jc w:val="center"/>
        <w:tblInd w:w="55" w:type="dxa"/>
        <w:tblCellMar>
          <w:left w:w="70" w:type="dxa"/>
          <w:right w:w="70" w:type="dxa"/>
        </w:tblCellMar>
        <w:tblLook w:val="04A0" w:firstRow="1" w:lastRow="0" w:firstColumn="1" w:lastColumn="0" w:noHBand="0" w:noVBand="1"/>
      </w:tblPr>
      <w:tblGrid>
        <w:gridCol w:w="1530"/>
        <w:gridCol w:w="4413"/>
      </w:tblGrid>
      <w:tr w:rsidR="0024600D" w:rsidRPr="0024600D" w:rsidTr="0024600D">
        <w:trPr>
          <w:trHeight w:val="394"/>
          <w:jc w:val="center"/>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0D" w:rsidRPr="0024600D" w:rsidRDefault="0024600D" w:rsidP="00600F58">
            <w:pPr>
              <w:jc w:val="center"/>
              <w:rPr>
                <w:rFonts w:ascii="Palatino Linotype" w:hAnsi="Palatino Linotype" w:cs="Arial"/>
                <w:b/>
                <w:color w:val="000000"/>
                <w:sz w:val="20"/>
              </w:rPr>
            </w:pPr>
          </w:p>
          <w:p w:rsidR="0024600D" w:rsidRPr="0024600D" w:rsidRDefault="0024600D" w:rsidP="00600F58">
            <w:pPr>
              <w:jc w:val="center"/>
              <w:rPr>
                <w:rFonts w:ascii="Palatino Linotype" w:hAnsi="Palatino Linotype"/>
                <w:b/>
                <w:color w:val="000000"/>
                <w:sz w:val="20"/>
              </w:rPr>
            </w:pPr>
            <w:r w:rsidRPr="0024600D">
              <w:rPr>
                <w:rFonts w:ascii="Palatino Linotype" w:hAnsi="Palatino Linotype" w:cs="Arial"/>
                <w:b/>
                <w:color w:val="000000"/>
                <w:sz w:val="20"/>
              </w:rPr>
              <w:t>Cantidad</w:t>
            </w:r>
          </w:p>
        </w:tc>
        <w:tc>
          <w:tcPr>
            <w:tcW w:w="4413" w:type="dxa"/>
            <w:tcBorders>
              <w:top w:val="single" w:sz="4" w:space="0" w:color="auto"/>
              <w:left w:val="nil"/>
              <w:bottom w:val="single" w:sz="4" w:space="0" w:color="auto"/>
              <w:right w:val="single" w:sz="4" w:space="0" w:color="auto"/>
            </w:tcBorders>
            <w:shd w:val="clear" w:color="auto" w:fill="auto"/>
            <w:noWrap/>
            <w:vAlign w:val="center"/>
            <w:hideMark/>
          </w:tcPr>
          <w:p w:rsidR="0024600D" w:rsidRPr="0024600D" w:rsidRDefault="0024600D" w:rsidP="00600F58">
            <w:pPr>
              <w:jc w:val="center"/>
              <w:rPr>
                <w:rFonts w:ascii="Palatino Linotype" w:hAnsi="Palatino Linotype"/>
                <w:b/>
                <w:color w:val="000000"/>
                <w:sz w:val="20"/>
              </w:rPr>
            </w:pPr>
            <w:r w:rsidRPr="0024600D">
              <w:rPr>
                <w:rFonts w:ascii="Palatino Linotype" w:hAnsi="Palatino Linotype"/>
                <w:b/>
                <w:color w:val="000000"/>
                <w:sz w:val="20"/>
              </w:rPr>
              <w:t>Fecha de Entrega</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122,000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10-mar-16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10-abr-16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10-may-16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10-jun-16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10-jul-16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10-ago-16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10-sep-16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10-Oct-16</w:t>
            </w:r>
          </w:p>
        </w:tc>
      </w:tr>
      <w:tr w:rsidR="0024600D" w:rsidRPr="0024600D" w:rsidTr="0024600D">
        <w:trPr>
          <w:trHeight w:val="33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nil"/>
              <w:left w:val="nil"/>
              <w:bottom w:val="single" w:sz="4" w:space="0" w:color="auto"/>
              <w:right w:val="single" w:sz="4" w:space="0" w:color="auto"/>
            </w:tcBorders>
            <w:shd w:val="clear" w:color="auto" w:fill="auto"/>
            <w:vAlign w:val="center"/>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10-Nov-16</w:t>
            </w:r>
          </w:p>
        </w:tc>
      </w:tr>
      <w:tr w:rsidR="0024600D" w:rsidRPr="0024600D" w:rsidTr="0024600D">
        <w:trPr>
          <w:trHeight w:val="330"/>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10-Dic-16</w:t>
            </w:r>
          </w:p>
        </w:tc>
      </w:tr>
      <w:tr w:rsidR="0024600D" w:rsidRPr="0024600D" w:rsidTr="0024600D">
        <w:trPr>
          <w:trHeight w:val="330"/>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10-Ene-16</w:t>
            </w:r>
          </w:p>
        </w:tc>
      </w:tr>
      <w:tr w:rsidR="0024600D" w:rsidRPr="0024600D" w:rsidTr="0024600D">
        <w:trPr>
          <w:trHeight w:val="330"/>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 xml:space="preserve">98,000 </w:t>
            </w:r>
            <w:proofErr w:type="spellStart"/>
            <w:r w:rsidRPr="0024600D">
              <w:rPr>
                <w:rFonts w:ascii="Arial Narrow" w:hAnsi="Arial Narrow"/>
                <w:color w:val="000000"/>
                <w:sz w:val="20"/>
              </w:rPr>
              <w:t>Lbs</w:t>
            </w:r>
            <w:proofErr w:type="spellEnd"/>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0D" w:rsidRPr="0024600D" w:rsidRDefault="0024600D" w:rsidP="00600F58">
            <w:pPr>
              <w:jc w:val="center"/>
              <w:rPr>
                <w:rFonts w:ascii="Arial Narrow" w:hAnsi="Arial Narrow"/>
                <w:color w:val="000000"/>
                <w:sz w:val="20"/>
              </w:rPr>
            </w:pPr>
            <w:r w:rsidRPr="0024600D">
              <w:rPr>
                <w:rFonts w:ascii="Arial Narrow" w:hAnsi="Arial Narrow"/>
                <w:color w:val="000000"/>
                <w:sz w:val="20"/>
              </w:rPr>
              <w:t>10-Feb-16</w:t>
            </w:r>
          </w:p>
        </w:tc>
      </w:tr>
    </w:tbl>
    <w:p w:rsidR="0024600D" w:rsidRDefault="0024600D" w:rsidP="0024600D">
      <w:pPr>
        <w:pStyle w:val="Ttulo3"/>
        <w:rPr>
          <w:rFonts w:ascii="Palatino Linotype" w:hAnsi="Palatino Linotype"/>
        </w:rPr>
      </w:pPr>
    </w:p>
    <w:p w:rsidR="002F337A" w:rsidRPr="006F4D3D" w:rsidRDefault="002F337A" w:rsidP="002F337A">
      <w:pPr>
        <w:pStyle w:val="Ttulo3"/>
      </w:pPr>
    </w:p>
    <w:p w:rsidR="002F337A" w:rsidRDefault="002F337A" w:rsidP="002F337A">
      <w:pPr>
        <w:pStyle w:val="Ttulo3"/>
        <w:numPr>
          <w:ilvl w:val="0"/>
          <w:numId w:val="5"/>
        </w:numPr>
      </w:pPr>
      <w:r>
        <w:t>Se modifica el acápite 2.16</w:t>
      </w:r>
      <w:r w:rsidRPr="006F4D3D">
        <w:t xml:space="preserve"> Presentación de la Documentación Contenida en el  “Sobre B”</w:t>
      </w:r>
      <w:r>
        <w:t xml:space="preserve"> que en lo adelante se </w:t>
      </w:r>
      <w:r w:rsidR="00BC0B50">
        <w:t>leerá</w:t>
      </w:r>
      <w:r>
        <w:t xml:space="preserve"> como sigue:</w:t>
      </w:r>
    </w:p>
    <w:p w:rsidR="002F337A" w:rsidRDefault="002F337A" w:rsidP="002F337A">
      <w:pPr>
        <w:rPr>
          <w:lang w:val="es-ES" w:eastAsia="es-ES"/>
        </w:rPr>
      </w:pPr>
    </w:p>
    <w:p w:rsidR="002F337A" w:rsidRPr="006F4D3D" w:rsidRDefault="002F337A" w:rsidP="002F337A">
      <w:pPr>
        <w:pStyle w:val="Ttulo3"/>
      </w:pPr>
      <w:bookmarkStart w:id="4" w:name="_Toc410128610"/>
      <w:r>
        <w:t>2.16</w:t>
      </w:r>
      <w:r w:rsidRPr="006F4D3D">
        <w:t xml:space="preserve"> Presentación de la Documentación Contenida en el  “Sobre B”</w:t>
      </w:r>
      <w:bookmarkEnd w:id="4"/>
    </w:p>
    <w:p w:rsidR="002F337A" w:rsidRPr="00161AC3" w:rsidRDefault="002F337A" w:rsidP="002F337A">
      <w:pPr>
        <w:rPr>
          <w:rFonts w:ascii="Arial Narrow" w:hAnsi="Arial Narrow" w:cs="Arial"/>
        </w:rPr>
      </w:pPr>
    </w:p>
    <w:p w:rsidR="002F337A" w:rsidRPr="006F4D3D" w:rsidRDefault="002F337A" w:rsidP="002F337A">
      <w:pPr>
        <w:pStyle w:val="Textoindependiente"/>
        <w:numPr>
          <w:ilvl w:val="0"/>
          <w:numId w:val="6"/>
        </w:numPr>
        <w:rPr>
          <w:rFonts w:ascii="Arial Narrow" w:hAnsi="Arial Narrow" w:cs="Arial"/>
        </w:rPr>
      </w:pPr>
      <w:r w:rsidRPr="006F4D3D">
        <w:rPr>
          <w:rFonts w:ascii="Arial Narrow" w:hAnsi="Arial Narrow" w:cs="Arial"/>
          <w:b/>
        </w:rPr>
        <w:t>Formulario de Presentación de Oferta Económica</w:t>
      </w:r>
      <w:r w:rsidRPr="00B616AC">
        <w:rPr>
          <w:rFonts w:ascii="Arial Narrow" w:hAnsi="Arial Narrow" w:cs="Arial"/>
        </w:rPr>
        <w:t xml:space="preserve"> </w:t>
      </w:r>
      <w:r w:rsidRPr="00B616AC">
        <w:rPr>
          <w:rFonts w:ascii="Arial Narrow" w:hAnsi="Arial Narrow" w:cs="Arial"/>
          <w:b/>
          <w:color w:val="800000"/>
        </w:rPr>
        <w:t>(SNCC.F.33),</w:t>
      </w:r>
      <w:r w:rsidRPr="00B616AC">
        <w:rPr>
          <w:rFonts w:ascii="Arial Narrow" w:hAnsi="Arial Narrow" w:cs="Arial"/>
        </w:rPr>
        <w:t xml:space="preserve"> presentado en </w:t>
      </w:r>
      <w:r w:rsidRPr="00B616AC">
        <w:rPr>
          <w:rFonts w:ascii="Arial Narrow" w:hAnsi="Arial Narrow" w:cs="Arial"/>
          <w:b/>
        </w:rPr>
        <w:t>Un (1)</w:t>
      </w:r>
      <w:r w:rsidRPr="00B616AC">
        <w:rPr>
          <w:rFonts w:ascii="Arial Narrow" w:hAnsi="Arial Narrow" w:cs="Arial"/>
        </w:rPr>
        <w:t xml:space="preserve"> original debidamente marcado como “</w:t>
      </w:r>
      <w:r w:rsidRPr="00B616AC">
        <w:rPr>
          <w:rFonts w:ascii="Arial Narrow" w:hAnsi="Arial Narrow" w:cs="Arial"/>
          <w:b/>
        </w:rPr>
        <w:t>ORIGINAL</w:t>
      </w:r>
      <w:r w:rsidRPr="003714DF">
        <w:rPr>
          <w:rFonts w:ascii="Arial Narrow" w:hAnsi="Arial Narrow" w:cs="Arial"/>
        </w:rPr>
        <w:t xml:space="preserve">” en la primera página de la Oferta, junto con </w:t>
      </w:r>
      <w:r>
        <w:rPr>
          <w:rFonts w:ascii="Arial Narrow" w:hAnsi="Arial Narrow" w:cs="Arial"/>
          <w:b/>
          <w:color w:val="990000"/>
        </w:rPr>
        <w:t>Tres (3)</w:t>
      </w:r>
      <w:r w:rsidRPr="006F4D3D">
        <w:rPr>
          <w:rFonts w:ascii="Arial Narrow" w:hAnsi="Arial Narrow" w:cs="Arial"/>
          <w:b/>
          <w:color w:val="990000"/>
        </w:rPr>
        <w:t xml:space="preserve"> </w:t>
      </w:r>
      <w:r w:rsidRPr="006F4D3D">
        <w:rPr>
          <w:rFonts w:ascii="Arial Narrow" w:hAnsi="Arial Narrow" w:cs="Arial"/>
        </w:rPr>
        <w:t>fotocopias simples de la misma, debidamente marcadas, en su primera página, como “</w:t>
      </w:r>
      <w:r w:rsidRPr="006F4D3D">
        <w:rPr>
          <w:rFonts w:ascii="Arial Narrow" w:hAnsi="Arial Narrow" w:cs="Arial"/>
          <w:b/>
        </w:rPr>
        <w:t>COPIA</w:t>
      </w:r>
      <w:r w:rsidRPr="006F4D3D">
        <w:rPr>
          <w:rFonts w:ascii="Arial Narrow" w:hAnsi="Arial Narrow" w:cs="Arial"/>
        </w:rPr>
        <w:t xml:space="preserve">”. El original y las copias deberán estar firmados en todas las páginas por el Representante Legal,  debidamente foliadas y deberán llevar el sello social de la compañía. </w:t>
      </w:r>
    </w:p>
    <w:p w:rsidR="002F337A" w:rsidRPr="006F4D3D" w:rsidRDefault="002F337A" w:rsidP="002F337A">
      <w:pPr>
        <w:pStyle w:val="Textoindependiente"/>
        <w:ind w:left="720"/>
        <w:rPr>
          <w:rFonts w:ascii="Arial Narrow" w:hAnsi="Arial Narrow" w:cs="Arial"/>
        </w:rPr>
      </w:pPr>
    </w:p>
    <w:p w:rsidR="002F337A" w:rsidRPr="00B616AC" w:rsidRDefault="002F337A" w:rsidP="002F337A">
      <w:pPr>
        <w:pStyle w:val="Textoindependiente"/>
        <w:ind w:left="720"/>
        <w:rPr>
          <w:rFonts w:ascii="Arial Narrow" w:hAnsi="Arial Narrow" w:cs="Arial"/>
        </w:rPr>
      </w:pPr>
      <w:r w:rsidRPr="006F4D3D">
        <w:rPr>
          <w:rFonts w:ascii="Arial Narrow" w:hAnsi="Arial Narrow"/>
          <w:b/>
        </w:rPr>
        <w:lastRenderedPageBreak/>
        <w:t>Garantía de la Seriedad de la Oferta</w:t>
      </w:r>
      <w:r w:rsidRPr="006F4D3D">
        <w:rPr>
          <w:rFonts w:ascii="Arial Narrow" w:hAnsi="Arial Narrow"/>
        </w:rPr>
        <w:t xml:space="preserve">.  Correspondiente a </w:t>
      </w:r>
      <w:r w:rsidRPr="006F4D3D">
        <w:rPr>
          <w:rFonts w:ascii="Arial Narrow" w:hAnsi="Arial Narrow" w:cs="Arial"/>
          <w:b/>
          <w:color w:val="990000"/>
        </w:rPr>
        <w:t>Póliza de Fianza</w:t>
      </w:r>
      <w:r>
        <w:rPr>
          <w:rFonts w:ascii="Arial Narrow" w:hAnsi="Arial Narrow" w:cs="Arial"/>
          <w:b/>
          <w:color w:val="990000"/>
        </w:rPr>
        <w:t xml:space="preserve"> por valor del Uno por ciento (1%)</w:t>
      </w:r>
      <w:r w:rsidRPr="006F4D3D">
        <w:rPr>
          <w:rFonts w:ascii="Arial Narrow" w:hAnsi="Arial Narrow" w:cs="Arial"/>
          <w:b/>
          <w:color w:val="990000"/>
        </w:rPr>
        <w:t xml:space="preserve"> </w:t>
      </w:r>
      <w:r w:rsidRPr="006F4D3D">
        <w:rPr>
          <w:rFonts w:ascii="Arial Narrow" w:eastAsia="SimSun" w:hAnsi="Arial Narrow" w:cs="Arial"/>
          <w:lang w:val="es-MX"/>
        </w:rPr>
        <w:t xml:space="preserve">La vigencia de la garantía </w:t>
      </w:r>
      <w:r w:rsidRPr="00161AC3">
        <w:rPr>
          <w:rFonts w:ascii="Arial Narrow" w:hAnsi="Arial Narrow"/>
        </w:rPr>
        <w:t xml:space="preserve">deberá ser igual al plazo de validez de la oferta establecido en el numeral </w:t>
      </w:r>
      <w:r w:rsidRPr="00B957CD">
        <w:rPr>
          <w:rFonts w:ascii="Arial Narrow" w:hAnsi="Arial Narrow"/>
        </w:rPr>
        <w:t>3.8</w:t>
      </w:r>
      <w:r w:rsidRPr="00161AC3">
        <w:rPr>
          <w:rFonts w:ascii="Arial Narrow" w:hAnsi="Arial Narrow"/>
        </w:rPr>
        <w:t xml:space="preserve"> del presente Pliego de Condiciones.</w:t>
      </w:r>
      <w:r w:rsidRPr="006F4D3D">
        <w:rPr>
          <w:rFonts w:ascii="Arial Narrow" w:hAnsi="Arial Narrow"/>
        </w:rPr>
        <w:t xml:space="preserve"> </w:t>
      </w:r>
    </w:p>
    <w:p w:rsidR="002F337A" w:rsidRDefault="002F337A" w:rsidP="002F337A">
      <w:pPr>
        <w:rPr>
          <w:rFonts w:ascii="Arial Narrow" w:hAnsi="Arial Narrow" w:cs="Arial"/>
        </w:rPr>
      </w:pPr>
    </w:p>
    <w:p w:rsidR="002F337A" w:rsidRPr="00B616AC" w:rsidRDefault="002F337A" w:rsidP="002F337A">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2F337A" w:rsidRPr="003714DF" w:rsidRDefault="002F337A" w:rsidP="002F337A">
      <w:pPr>
        <w:pStyle w:val="Textoindependiente"/>
        <w:rPr>
          <w:rFonts w:ascii="Arial Narrow" w:hAnsi="Arial Narrow" w:cs="Arial"/>
          <w:color w:val="auto"/>
        </w:rPr>
      </w:pPr>
    </w:p>
    <w:p w:rsidR="002F337A" w:rsidRPr="00C571BC" w:rsidRDefault="002F337A" w:rsidP="002F337A">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2F337A" w:rsidRPr="006F4D3D" w:rsidRDefault="002F337A" w:rsidP="002F337A">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2F337A" w:rsidRPr="006F4D3D" w:rsidRDefault="002F337A" w:rsidP="002F337A">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2F337A" w:rsidRPr="006F4D3D" w:rsidRDefault="002F337A" w:rsidP="002F337A">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2F337A" w:rsidRPr="006F4D3D" w:rsidRDefault="002F337A" w:rsidP="002F337A">
      <w:pPr>
        <w:pStyle w:val="Textoindependiente"/>
        <w:ind w:left="2832" w:firstLine="3"/>
        <w:rPr>
          <w:rFonts w:ascii="Arial Narrow" w:hAnsi="Arial Narrow" w:cs="Arial"/>
          <w:color w:val="auto"/>
        </w:rPr>
      </w:pPr>
      <w:r>
        <w:rPr>
          <w:rFonts w:ascii="Arial Narrow" w:hAnsi="Arial Narrow" w:cs="Arial"/>
          <w:b/>
          <w:color w:val="990000"/>
        </w:rPr>
        <w:t>Corporación del Acueducto y Alcantarillado de Santo Domingo</w:t>
      </w:r>
      <w:r w:rsidRPr="006F4D3D">
        <w:rPr>
          <w:rFonts w:ascii="Arial Narrow" w:hAnsi="Arial Narrow" w:cs="Arial"/>
          <w:color w:val="auto"/>
        </w:rPr>
        <w:t xml:space="preserve"> PRESENTACIÓN:    </w:t>
      </w:r>
      <w:r w:rsidRPr="006F4D3D">
        <w:rPr>
          <w:rFonts w:ascii="Arial Narrow" w:hAnsi="Arial Narrow" w:cs="Arial"/>
          <w:b/>
          <w:color w:val="auto"/>
        </w:rPr>
        <w:t>OFERTA ECONÓMICA</w:t>
      </w:r>
    </w:p>
    <w:p w:rsidR="002F337A" w:rsidRPr="006F4D3D" w:rsidRDefault="002F337A" w:rsidP="002F337A">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Pr="006F4D3D">
        <w:rPr>
          <w:rFonts w:ascii="Arial Narrow" w:hAnsi="Arial Narrow" w:cs="Arial"/>
          <w:color w:val="auto"/>
          <w:lang w:val="es-ES_tradnl"/>
        </w:rPr>
        <w:tab/>
        <w:t xml:space="preserve">       </w:t>
      </w:r>
      <w:r>
        <w:rPr>
          <w:rFonts w:ascii="Arial Narrow" w:hAnsi="Arial Narrow" w:cs="Arial"/>
          <w:b/>
        </w:rPr>
        <w:t>CAASD-LPN-04-2015</w:t>
      </w:r>
      <w:r w:rsidRPr="006F4D3D">
        <w:rPr>
          <w:rStyle w:val="Refdenotaalpie"/>
          <w:rFonts w:ascii="Arial Narrow" w:hAnsi="Arial Narrow" w:cs="Arial"/>
          <w:b/>
          <w:lang w:val="es-ES"/>
        </w:rPr>
        <w:footnoteReference w:id="1"/>
      </w:r>
    </w:p>
    <w:p w:rsidR="002F337A" w:rsidRPr="00B616AC" w:rsidRDefault="002F337A" w:rsidP="002F337A">
      <w:pPr>
        <w:pStyle w:val="Textoindependiente"/>
        <w:rPr>
          <w:rFonts w:ascii="Arial Narrow" w:hAnsi="Arial Narrow" w:cs="Arial"/>
          <w:color w:val="auto"/>
        </w:rPr>
      </w:pPr>
    </w:p>
    <w:p w:rsidR="002F337A" w:rsidRPr="006F4D3D" w:rsidRDefault="002F337A" w:rsidP="002F337A">
      <w:pPr>
        <w:pStyle w:val="Textoindependiente"/>
        <w:rPr>
          <w:rFonts w:ascii="Arial Narrow" w:hAnsi="Arial Narrow" w:cs="Arial"/>
          <w:color w:val="auto"/>
        </w:rPr>
      </w:pPr>
      <w:r w:rsidRPr="00B616AC">
        <w:rPr>
          <w:rFonts w:ascii="Arial Narrow" w:hAnsi="Arial Narrow" w:cs="Arial"/>
        </w:rPr>
        <w:t xml:space="preserve">Las Ofertas deberán ser presentadas únicas y exclusivamente en el formulario designado al efecto, </w:t>
      </w:r>
      <w:r w:rsidRPr="00B616AC">
        <w:rPr>
          <w:rFonts w:ascii="Arial Narrow" w:hAnsi="Arial Narrow" w:cs="Arial"/>
          <w:b/>
          <w:color w:val="800000"/>
        </w:rPr>
        <w:t>(SNCC.F.033</w:t>
      </w:r>
      <w:r w:rsidRPr="003714DF">
        <w:rPr>
          <w:rFonts w:ascii="Arial Narrow" w:hAnsi="Arial Narrow" w:cs="Arial"/>
          <w:b/>
          <w:color w:val="800000"/>
        </w:rPr>
        <w:t>)</w:t>
      </w:r>
      <w:r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2F337A" w:rsidRDefault="002F337A" w:rsidP="002F337A">
      <w:pPr>
        <w:jc w:val="both"/>
        <w:rPr>
          <w:rFonts w:ascii="Arial Narrow" w:hAnsi="Arial Narrow" w:cs="Arial"/>
        </w:rPr>
      </w:pPr>
    </w:p>
    <w:p w:rsidR="002F337A" w:rsidRPr="002F337A" w:rsidRDefault="002F337A" w:rsidP="002F337A">
      <w:pPr>
        <w:jc w:val="both"/>
        <w:rPr>
          <w:rFonts w:ascii="Arial Narrow" w:hAnsi="Arial Narrow" w:cs="Arial"/>
          <w:u w:val="single"/>
        </w:rPr>
      </w:pPr>
      <w:r w:rsidRPr="002F337A">
        <w:rPr>
          <w:rFonts w:ascii="Arial Narrow" w:hAnsi="Arial Narrow" w:cs="Arial"/>
          <w:u w:val="single"/>
        </w:rPr>
        <w:t>La Oferta Económica deberá presentarse en Pesos Dominicanos (RD$)</w:t>
      </w:r>
      <w:r w:rsidRPr="002F337A">
        <w:rPr>
          <w:rFonts w:ascii="Arial Narrow" w:eastAsia="SimSun" w:hAnsi="Arial Narrow" w:cs="Arial"/>
          <w:u w:val="single"/>
        </w:rPr>
        <w:t>.</w:t>
      </w:r>
      <w:r w:rsidRPr="002F337A">
        <w:rPr>
          <w:rFonts w:ascii="Arial Narrow" w:hAnsi="Arial Narrow" w:cs="Arial"/>
          <w:u w:val="single"/>
        </w:rPr>
        <w:t xml:space="preserve">  Los precios deberán expresarse en </w:t>
      </w:r>
      <w:r w:rsidRPr="002F337A">
        <w:rPr>
          <w:rFonts w:ascii="Arial Narrow" w:hAnsi="Arial Narrow" w:cs="Arial"/>
          <w:b/>
          <w:u w:val="single"/>
        </w:rPr>
        <w:t>dos decimales</w:t>
      </w:r>
      <w:r w:rsidRPr="002F337A">
        <w:rPr>
          <w:rFonts w:ascii="Arial Narrow" w:hAnsi="Arial Narrow" w:cs="Arial"/>
          <w:u w:val="single"/>
        </w:rPr>
        <w:t xml:space="preserve"> </w:t>
      </w:r>
      <w:r w:rsidRPr="002F337A">
        <w:rPr>
          <w:rFonts w:ascii="Arial Narrow" w:hAnsi="Arial Narrow" w:cs="Arial"/>
          <w:b/>
          <w:u w:val="single"/>
        </w:rPr>
        <w:t>(XX.XX)</w:t>
      </w:r>
      <w:r w:rsidRPr="002F337A">
        <w:rPr>
          <w:rFonts w:ascii="Arial Narrow" w:hAnsi="Arial Narrow" w:cs="Arial"/>
          <w:u w:val="single"/>
        </w:rPr>
        <w:t xml:space="preserve"> que tendrán que incluir todas las tasas (divisas), impuestos y gastos que correspondan, transparentados e implícitos según corresponda, así como también transporte, desmonte de los mismos , es decir cotizaran el producto colocado en su lugar de destino o planta.</w:t>
      </w:r>
    </w:p>
    <w:p w:rsidR="002F337A" w:rsidRPr="006F4D3D" w:rsidRDefault="002F337A" w:rsidP="002F337A">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2F337A" w:rsidRPr="006F4D3D" w:rsidRDefault="002F337A" w:rsidP="002F337A">
      <w:pPr>
        <w:jc w:val="both"/>
        <w:rPr>
          <w:rFonts w:ascii="Arial Narrow" w:hAnsi="Arial Narrow" w:cs="Arial"/>
        </w:rPr>
      </w:pPr>
      <w:r w:rsidRPr="006F4D3D">
        <w:rPr>
          <w:rFonts w:ascii="Arial Narrow" w:hAnsi="Arial Narrow" w:cs="Arial"/>
        </w:rPr>
        <w:t xml:space="preserve">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 </w:t>
      </w:r>
    </w:p>
    <w:p w:rsidR="002F337A" w:rsidRPr="006F4D3D" w:rsidRDefault="002F337A" w:rsidP="002F337A">
      <w:pPr>
        <w:jc w:val="both"/>
        <w:rPr>
          <w:rFonts w:ascii="Arial Narrow" w:hAnsi="Arial Narrow" w:cs="Arial"/>
        </w:rPr>
      </w:pPr>
      <w:r w:rsidRPr="006F4D3D">
        <w:rPr>
          <w:rFonts w:ascii="Arial Narrow" w:hAnsi="Arial Narrow" w:cs="Arial"/>
        </w:rPr>
        <w:t xml:space="preserve">El Oferente/Proponente que cotice en cualquier moneda distinta al Peso Dominicano (RD$), </w:t>
      </w:r>
      <w:r w:rsidRPr="006F4D3D">
        <w:rPr>
          <w:rFonts w:ascii="Arial Narrow" w:hAnsi="Arial Narrow" w:cs="Arial"/>
          <w:b/>
          <w:u w:val="single"/>
        </w:rPr>
        <w:t>se auto-descalifica para ser adjudicatario</w:t>
      </w:r>
      <w:proofErr w:type="gramStart"/>
      <w:r w:rsidRPr="006F4D3D">
        <w:rPr>
          <w:rFonts w:ascii="Arial Narrow" w:hAnsi="Arial Narrow" w:cs="Arial"/>
          <w:b/>
          <w:u w:val="single"/>
        </w:rPr>
        <w:t>.</w:t>
      </w:r>
      <w:r w:rsidRPr="006F4D3D">
        <w:rPr>
          <w:rFonts w:ascii="Arial Narrow" w:hAnsi="Arial Narrow" w:cs="Arial"/>
        </w:rPr>
        <w:t>.</w:t>
      </w:r>
      <w:proofErr w:type="gramEnd"/>
    </w:p>
    <w:p w:rsidR="002F337A" w:rsidRPr="006F4D3D" w:rsidRDefault="002F337A" w:rsidP="002F337A">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Pr>
          <w:rFonts w:ascii="Arial Narrow" w:hAnsi="Arial Narrow" w:cs="Arial"/>
          <w:b/>
          <w:color w:val="990000"/>
        </w:rPr>
        <w:t>Corporación del Acueducto y Alcantarillado de Santo Domingo</w:t>
      </w:r>
      <w:r w:rsidRPr="006F4D3D">
        <w:rPr>
          <w:rFonts w:ascii="Arial Narrow" w:hAnsi="Arial Narrow" w:cs="Arial"/>
        </w:rPr>
        <w:t xml:space="preserve"> 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w:t>
      </w:r>
      <w:r>
        <w:rPr>
          <w:rFonts w:ascii="Arial Narrow" w:hAnsi="Arial Narrow" w:cs="Arial"/>
        </w:rPr>
        <w:t>entrega de la Oferta Económica.</w:t>
      </w:r>
    </w:p>
    <w:p w:rsidR="002F337A" w:rsidRPr="006F4D3D" w:rsidRDefault="002F337A" w:rsidP="002F337A">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Pr>
          <w:rFonts w:ascii="Arial Narrow" w:hAnsi="Arial Narrow" w:cs="Arial"/>
          <w:b/>
          <w:color w:val="990000"/>
        </w:rPr>
        <w:t>Corporación del Acueducto y Alcantarillado de Santo Domingo</w:t>
      </w:r>
      <w:r w:rsidRPr="006F4D3D">
        <w:rPr>
          <w:rFonts w:ascii="Arial Narrow" w:hAnsi="Arial Narrow" w:cs="Arial"/>
        </w:rPr>
        <w:t xml:space="preserve"> se compromete a dar respuesta dentro de los siguientes </w:t>
      </w:r>
      <w:r w:rsidRPr="006F4D3D">
        <w:rPr>
          <w:rFonts w:ascii="Arial Narrow" w:hAnsi="Arial Narrow" w:cs="Arial"/>
          <w:b/>
        </w:rPr>
        <w:t>cinco (5) días laborables</w:t>
      </w:r>
      <w:r w:rsidRPr="006F4D3D">
        <w:rPr>
          <w:rFonts w:ascii="Arial Narrow" w:hAnsi="Arial Narrow" w:cs="Arial"/>
        </w:rPr>
        <w:t xml:space="preserve">, contados a partir de la fecha de acuse de recibo de </w:t>
      </w:r>
      <w:r>
        <w:rPr>
          <w:rFonts w:ascii="Arial Narrow" w:hAnsi="Arial Narrow" w:cs="Arial"/>
        </w:rPr>
        <w:t>la solicitud realizada.</w:t>
      </w:r>
    </w:p>
    <w:p w:rsidR="002F337A" w:rsidRPr="006F4D3D" w:rsidRDefault="002F337A" w:rsidP="002F337A">
      <w:pPr>
        <w:jc w:val="both"/>
        <w:rPr>
          <w:rFonts w:ascii="Arial Narrow" w:hAnsi="Arial Narrow" w:cs="Arial"/>
        </w:rPr>
      </w:pPr>
      <w:r w:rsidRPr="006F4D3D">
        <w:rPr>
          <w:rFonts w:ascii="Arial Narrow" w:hAnsi="Arial Narrow" w:cs="Arial"/>
        </w:rPr>
        <w:lastRenderedPageBreak/>
        <w:t>La solicitud de ajuste no modifica el Cronograma de Entrega de Cantidades Adjudicadas, por lo que, el Proveedor Adjudicatario se compromete a no alterar la fecha de programación de entrega de los Bienes pactados, bajo el alegato de esp</w:t>
      </w:r>
      <w:r>
        <w:rPr>
          <w:rFonts w:ascii="Arial Narrow" w:hAnsi="Arial Narrow" w:cs="Arial"/>
        </w:rPr>
        <w:t xml:space="preserve">erar respuesta a su solicitud. </w:t>
      </w:r>
    </w:p>
    <w:p w:rsidR="002F337A" w:rsidRPr="002F337A" w:rsidRDefault="002F337A" w:rsidP="002F337A">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deberán ser dados en la unidad de medida establecida en el Formulario de Oferta Económica</w:t>
      </w:r>
      <w:r>
        <w:rPr>
          <w:rFonts w:ascii="Arial Narrow" w:hAnsi="Arial Narrow" w:cs="Arial"/>
          <w:b/>
          <w:u w:val="single"/>
        </w:rPr>
        <w:t>.</w:t>
      </w:r>
    </w:p>
    <w:p w:rsidR="002F337A" w:rsidRPr="006F4D3D" w:rsidRDefault="002F337A" w:rsidP="002F337A">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solo se tomará en cuenta la cotización  únicamente de lo evaluado CONFORME en el proceso de evaluación técnica.</w:t>
      </w:r>
    </w:p>
    <w:p w:rsidR="002F337A" w:rsidRPr="006F4D3D" w:rsidRDefault="002F337A" w:rsidP="002F337A">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2F337A" w:rsidRPr="002F337A" w:rsidRDefault="002F337A" w:rsidP="002F337A">
      <w:pPr>
        <w:rPr>
          <w:lang w:eastAsia="es-ES"/>
        </w:rPr>
      </w:pPr>
    </w:p>
    <w:p w:rsidR="00B32D3A" w:rsidRDefault="00110015" w:rsidP="002F337A">
      <w:pPr>
        <w:pStyle w:val="Prrafodelista"/>
      </w:pPr>
    </w:p>
    <w:sectPr w:rsidR="00B32D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15" w:rsidRDefault="00110015" w:rsidP="002F337A">
      <w:pPr>
        <w:spacing w:after="0" w:line="240" w:lineRule="auto"/>
      </w:pPr>
      <w:r>
        <w:separator/>
      </w:r>
    </w:p>
  </w:endnote>
  <w:endnote w:type="continuationSeparator" w:id="0">
    <w:p w:rsidR="00110015" w:rsidRDefault="00110015" w:rsidP="002F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alatino Linotype,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15" w:rsidRDefault="00110015" w:rsidP="002F337A">
      <w:pPr>
        <w:spacing w:after="0" w:line="240" w:lineRule="auto"/>
      </w:pPr>
      <w:r>
        <w:separator/>
      </w:r>
    </w:p>
  </w:footnote>
  <w:footnote w:type="continuationSeparator" w:id="0">
    <w:p w:rsidR="00110015" w:rsidRDefault="00110015" w:rsidP="002F337A">
      <w:pPr>
        <w:spacing w:after="0" w:line="240" w:lineRule="auto"/>
      </w:pPr>
      <w:r>
        <w:continuationSeparator/>
      </w:r>
    </w:p>
  </w:footnote>
  <w:footnote w:id="1">
    <w:p w:rsidR="002F337A" w:rsidRPr="003841C8" w:rsidRDefault="002F337A" w:rsidP="002F337A">
      <w:pPr>
        <w:pStyle w:val="Textonotapie"/>
        <w:jc w:val="both"/>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3FA"/>
    <w:multiLevelType w:val="hybridMultilevel"/>
    <w:tmpl w:val="45AA0D88"/>
    <w:lvl w:ilvl="0" w:tplc="4FD05F52">
      <w:start w:val="4"/>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279B0EA8"/>
    <w:multiLevelType w:val="hybridMultilevel"/>
    <w:tmpl w:val="63448948"/>
    <w:lvl w:ilvl="0" w:tplc="07EEA81A">
      <w:start w:val="4"/>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
    <w:nsid w:val="59F14C81"/>
    <w:multiLevelType w:val="hybridMultilevel"/>
    <w:tmpl w:val="1C60E9B8"/>
    <w:lvl w:ilvl="0" w:tplc="39E2E2B0">
      <w:start w:val="1"/>
      <w:numFmt w:val="decimal"/>
      <w:lvlText w:val="%1)"/>
      <w:lvlJc w:val="left"/>
      <w:pPr>
        <w:ind w:left="720" w:hanging="360"/>
      </w:pPr>
      <w:rPr>
        <w:rFonts w:cstheme="minorBidi"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0D"/>
    <w:rsid w:val="00110015"/>
    <w:rsid w:val="0024600D"/>
    <w:rsid w:val="002C1FA8"/>
    <w:rsid w:val="002F337A"/>
    <w:rsid w:val="00961CF2"/>
    <w:rsid w:val="00BC0B50"/>
    <w:rsid w:val="00EC506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autoRedefine/>
    <w:qFormat/>
    <w:rsid w:val="0024600D"/>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00D"/>
    <w:pPr>
      <w:spacing w:after="0" w:line="240" w:lineRule="auto"/>
      <w:ind w:left="720"/>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24600D"/>
    <w:rPr>
      <w:rFonts w:ascii="Arial Narrow" w:eastAsia="Times New Roman" w:hAnsi="Arial Narrow" w:cs="Arial"/>
      <w:b/>
      <w:bCs/>
      <w:sz w:val="24"/>
      <w:szCs w:val="24"/>
      <w:lang w:val="es-ES" w:eastAsia="es-ES"/>
    </w:rPr>
  </w:style>
  <w:style w:type="paragraph" w:styleId="Textoindependiente">
    <w:name w:val="Body Text"/>
    <w:basedOn w:val="Normal"/>
    <w:link w:val="TextoindependienteCar"/>
    <w:rsid w:val="0024600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s-ES"/>
    </w:rPr>
  </w:style>
  <w:style w:type="character" w:customStyle="1" w:styleId="TextoindependienteCar">
    <w:name w:val="Texto independiente Car"/>
    <w:basedOn w:val="Fuentedeprrafopredeter"/>
    <w:link w:val="Textoindependiente"/>
    <w:rsid w:val="0024600D"/>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246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00D"/>
    <w:rPr>
      <w:rFonts w:ascii="Tahoma" w:hAnsi="Tahoma" w:cs="Tahoma"/>
      <w:sz w:val="16"/>
      <w:szCs w:val="16"/>
    </w:rPr>
  </w:style>
  <w:style w:type="character" w:customStyle="1" w:styleId="Style6">
    <w:name w:val="Style6"/>
    <w:basedOn w:val="Fuentedeprrafopredeter"/>
    <w:uiPriority w:val="1"/>
    <w:qFormat/>
    <w:rsid w:val="0024600D"/>
    <w:rPr>
      <w:rFonts w:ascii="Arial Bold" w:hAnsi="Arial Bold"/>
      <w:b/>
      <w:spacing w:val="-20"/>
      <w:w w:val="90"/>
      <w:sz w:val="22"/>
    </w:rPr>
  </w:style>
  <w:style w:type="paragraph" w:styleId="Textonotapie">
    <w:name w:val="footnote text"/>
    <w:basedOn w:val="Normal"/>
    <w:link w:val="TextonotapieCar"/>
    <w:rsid w:val="002F337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2F337A"/>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2F337A"/>
    <w:rPr>
      <w:vertAlign w:val="superscript"/>
    </w:rPr>
  </w:style>
  <w:style w:type="paragraph" w:styleId="Encabezado">
    <w:name w:val="header"/>
    <w:basedOn w:val="Normal"/>
    <w:link w:val="EncabezadoCar"/>
    <w:uiPriority w:val="99"/>
    <w:unhideWhenUsed/>
    <w:rsid w:val="002F33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37A"/>
  </w:style>
  <w:style w:type="paragraph" w:styleId="Piedepgina">
    <w:name w:val="footer"/>
    <w:basedOn w:val="Normal"/>
    <w:link w:val="PiedepginaCar"/>
    <w:uiPriority w:val="99"/>
    <w:unhideWhenUsed/>
    <w:rsid w:val="002F33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autoRedefine/>
    <w:qFormat/>
    <w:rsid w:val="0024600D"/>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00D"/>
    <w:pPr>
      <w:spacing w:after="0" w:line="240" w:lineRule="auto"/>
      <w:ind w:left="720"/>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24600D"/>
    <w:rPr>
      <w:rFonts w:ascii="Arial Narrow" w:eastAsia="Times New Roman" w:hAnsi="Arial Narrow" w:cs="Arial"/>
      <w:b/>
      <w:bCs/>
      <w:sz w:val="24"/>
      <w:szCs w:val="24"/>
      <w:lang w:val="es-ES" w:eastAsia="es-ES"/>
    </w:rPr>
  </w:style>
  <w:style w:type="paragraph" w:styleId="Textoindependiente">
    <w:name w:val="Body Text"/>
    <w:basedOn w:val="Normal"/>
    <w:link w:val="TextoindependienteCar"/>
    <w:rsid w:val="0024600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s-ES"/>
    </w:rPr>
  </w:style>
  <w:style w:type="character" w:customStyle="1" w:styleId="TextoindependienteCar">
    <w:name w:val="Texto independiente Car"/>
    <w:basedOn w:val="Fuentedeprrafopredeter"/>
    <w:link w:val="Textoindependiente"/>
    <w:rsid w:val="0024600D"/>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246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00D"/>
    <w:rPr>
      <w:rFonts w:ascii="Tahoma" w:hAnsi="Tahoma" w:cs="Tahoma"/>
      <w:sz w:val="16"/>
      <w:szCs w:val="16"/>
    </w:rPr>
  </w:style>
  <w:style w:type="character" w:customStyle="1" w:styleId="Style6">
    <w:name w:val="Style6"/>
    <w:basedOn w:val="Fuentedeprrafopredeter"/>
    <w:uiPriority w:val="1"/>
    <w:qFormat/>
    <w:rsid w:val="0024600D"/>
    <w:rPr>
      <w:rFonts w:ascii="Arial Bold" w:hAnsi="Arial Bold"/>
      <w:b/>
      <w:spacing w:val="-20"/>
      <w:w w:val="90"/>
      <w:sz w:val="22"/>
    </w:rPr>
  </w:style>
  <w:style w:type="paragraph" w:styleId="Textonotapie">
    <w:name w:val="footnote text"/>
    <w:basedOn w:val="Normal"/>
    <w:link w:val="TextonotapieCar"/>
    <w:rsid w:val="002F337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2F337A"/>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2F337A"/>
    <w:rPr>
      <w:vertAlign w:val="superscript"/>
    </w:rPr>
  </w:style>
  <w:style w:type="paragraph" w:styleId="Encabezado">
    <w:name w:val="header"/>
    <w:basedOn w:val="Normal"/>
    <w:link w:val="EncabezadoCar"/>
    <w:uiPriority w:val="99"/>
    <w:unhideWhenUsed/>
    <w:rsid w:val="002F33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37A"/>
  </w:style>
  <w:style w:type="paragraph" w:styleId="Piedepgina">
    <w:name w:val="footer"/>
    <w:basedOn w:val="Normal"/>
    <w:link w:val="PiedepginaCar"/>
    <w:uiPriority w:val="99"/>
    <w:unhideWhenUsed/>
    <w:rsid w:val="002F33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Abelardo Reyes</dc:creator>
  <cp:lastModifiedBy>Patricia M. Ruiz De Los Santos</cp:lastModifiedBy>
  <cp:revision>3</cp:revision>
  <dcterms:created xsi:type="dcterms:W3CDTF">2016-02-04T18:26:00Z</dcterms:created>
  <dcterms:modified xsi:type="dcterms:W3CDTF">2016-02-05T15:41:00Z</dcterms:modified>
</cp:coreProperties>
</file>