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294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</w:tblGrid>
      <w:tr w:rsidR="00C72A69" w:rsidRPr="009C7555" w14:paraId="2D119A9E" w14:textId="77777777" w:rsidTr="00173FAD">
        <w:trPr>
          <w:trHeight w:val="37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D343" w14:textId="004B996D" w:rsidR="00C72A69" w:rsidRPr="009C7555" w:rsidRDefault="00FD4EAB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 xml:space="preserve"> </w:t>
            </w:r>
            <w:r w:rsidR="00C72A69"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lang w:eastAsia="es-ES"/>
              </w:rPr>
              <w:t>CORPORACION DEL ACUEDUCTO Y ALCANTARILLADO DE SANTO DOMINGO</w:t>
            </w:r>
          </w:p>
        </w:tc>
      </w:tr>
      <w:tr w:rsidR="00C72A69" w:rsidRPr="009C7555" w14:paraId="1CD3BF45" w14:textId="77777777" w:rsidTr="00173FAD">
        <w:trPr>
          <w:trHeight w:val="45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5ABF" w14:textId="49558279" w:rsidR="00C72A69" w:rsidRPr="009C7555" w:rsidRDefault="00C72A69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 w:rsidRPr="009C7555"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  <w:t>(CAASD)</w:t>
            </w:r>
          </w:p>
          <w:p w14:paraId="2656FF78" w14:textId="78670CD6" w:rsidR="00C72A69" w:rsidRPr="009C7555" w:rsidRDefault="0095409E" w:rsidP="00173FAD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01718ED3" wp14:editId="7CDFE053">
                  <wp:extent cx="2152650" cy="1031124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691" cy="108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936D44" w14:textId="77777777" w:rsidR="00C72A69" w:rsidRPr="009C7555" w:rsidRDefault="00C72A69" w:rsidP="00173FA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auto"/>
                <w:sz w:val="32"/>
                <w:szCs w:val="28"/>
                <w:lang w:eastAsia="es-ES"/>
              </w:rPr>
            </w:pPr>
          </w:p>
        </w:tc>
      </w:tr>
      <w:tr w:rsidR="00C72A69" w:rsidRPr="009C7555" w14:paraId="553A7F6D" w14:textId="77777777" w:rsidTr="00173FAD">
        <w:trPr>
          <w:trHeight w:val="42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C8F" w14:textId="77777777" w:rsidR="00B65EC4" w:rsidRDefault="00B65EC4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</w:p>
          <w:p w14:paraId="4B756199" w14:textId="208770CC" w:rsidR="00C72A69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  <w:t>Dirección de Planificación y Desarrollo Institucional</w:t>
            </w:r>
          </w:p>
          <w:p w14:paraId="025D6D65" w14:textId="5294805E" w:rsidR="00C72A69" w:rsidRPr="009C7555" w:rsidRDefault="00C72A69" w:rsidP="00173F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32"/>
                <w:szCs w:val="32"/>
                <w:lang w:eastAsia="es-ES"/>
              </w:rPr>
            </w:pPr>
            <w:r w:rsidRPr="009C7555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es-ES"/>
              </w:rPr>
              <w:t>Depto. Formulación, Análisis y Evaluación de PPP</w:t>
            </w:r>
          </w:p>
        </w:tc>
      </w:tr>
    </w:tbl>
    <w:p w14:paraId="45609D30" w14:textId="19B309BE" w:rsidR="00C72A69" w:rsidRPr="009C7555" w:rsidRDefault="00C72A69" w:rsidP="00C72A69"/>
    <w:p w14:paraId="267B17F3" w14:textId="77777777" w:rsidR="00C72A69" w:rsidRPr="009C7555" w:rsidRDefault="00C72A69" w:rsidP="00C72A69"/>
    <w:p w14:paraId="5B529320" w14:textId="77777777" w:rsidR="00C72A69" w:rsidRPr="009C7555" w:rsidRDefault="00C72A69" w:rsidP="00C72A69"/>
    <w:p w14:paraId="09E32844" w14:textId="77777777" w:rsidR="00C72A69" w:rsidRPr="009C7555" w:rsidRDefault="00C72A69" w:rsidP="00C72A69"/>
    <w:p w14:paraId="6A8C72EC" w14:textId="77777777" w:rsidR="00C72A69" w:rsidRPr="009C7555" w:rsidRDefault="00C72A69" w:rsidP="00C72A69"/>
    <w:p w14:paraId="2921A6BF" w14:textId="77777777" w:rsidR="00C72A69" w:rsidRPr="009C7555" w:rsidRDefault="00C72A69" w:rsidP="00C72A69"/>
    <w:p w14:paraId="0B06AD27" w14:textId="77777777" w:rsidR="00C72A69" w:rsidRPr="009C7555" w:rsidRDefault="00C72A69" w:rsidP="00C72A69"/>
    <w:p w14:paraId="1A2D7AC0" w14:textId="77777777" w:rsidR="00C72A69" w:rsidRPr="009C7555" w:rsidRDefault="00C72A69" w:rsidP="00C72A69"/>
    <w:p w14:paraId="5DCAD976" w14:textId="06F3A9BF" w:rsidR="00C72A69" w:rsidRPr="009C7555" w:rsidRDefault="00C72A69" w:rsidP="00C72A69"/>
    <w:p w14:paraId="4A05692C" w14:textId="4CC3BA1C" w:rsidR="00C72A69" w:rsidRPr="009C7555" w:rsidRDefault="00B65EC4" w:rsidP="00C72A69">
      <w:r w:rsidRPr="009C7555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4BE8CC57" wp14:editId="2A8D04D0">
            <wp:simplePos x="0" y="0"/>
            <wp:positionH relativeFrom="margin">
              <wp:align>left</wp:align>
            </wp:positionH>
            <wp:positionV relativeFrom="paragraph">
              <wp:posOffset>363899</wp:posOffset>
            </wp:positionV>
            <wp:extent cx="5400040" cy="40500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port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086A3" w14:textId="10507903" w:rsidR="00C72A69" w:rsidRPr="009C7555" w:rsidRDefault="00C72A69" w:rsidP="00C72A69"/>
    <w:p w14:paraId="455A0A42" w14:textId="75854446" w:rsidR="00C72A69" w:rsidRPr="009C7555" w:rsidRDefault="00C72A69" w:rsidP="00C72A69">
      <w:r w:rsidRPr="009C755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2B797796" wp14:editId="5B1050BD">
                <wp:simplePos x="0" y="0"/>
                <wp:positionH relativeFrom="page">
                  <wp:posOffset>600065</wp:posOffset>
                </wp:positionH>
                <wp:positionV relativeFrom="page">
                  <wp:posOffset>7819920</wp:posOffset>
                </wp:positionV>
                <wp:extent cx="6073254" cy="2415654"/>
                <wp:effectExtent l="0" t="0" r="3810" b="3810"/>
                <wp:wrapNone/>
                <wp:docPr id="6" name="Cuadro de texto 6" descr="Title, Subtitle, and Abstr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254" cy="24156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BF977" w14:textId="3E60D9EA" w:rsidR="00C72A69" w:rsidRPr="002B18A5" w:rsidRDefault="00000000" w:rsidP="00C72A69">
                            <w:pPr>
                              <w:pStyle w:val="Ttulo"/>
                            </w:pPr>
                            <w:sdt>
                              <w:sdtPr>
                                <w:alias w:val="Título"/>
                                <w:tag w:val=""/>
                                <w:id w:val="-856891961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C72A69">
                                  <w:t>Reporte de seguimiento de proyectos</w:t>
                                </w:r>
                              </w:sdtContent>
                            </w:sdt>
                          </w:p>
                          <w:p w14:paraId="121E1709" w14:textId="69718869" w:rsidR="00C72A69" w:rsidRPr="00413512" w:rsidRDefault="002326B3" w:rsidP="00C72A69">
                            <w:pPr>
                              <w:pStyle w:val="Subttulo"/>
                            </w:pPr>
                            <w:r>
                              <w:t>ENERO</w:t>
                            </w:r>
                            <w:r w:rsidR="00A759D9">
                              <w:t>-</w:t>
                            </w:r>
                            <w:r>
                              <w:t>MARZO</w:t>
                            </w:r>
                            <w:r w:rsidR="00921B26">
                              <w:t xml:space="preserve"> 202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9779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alt="Title, Subtitle, and Abstract" style="position:absolute;margin-left:47.25pt;margin-top:615.75pt;width:478.2pt;height:190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" o:allowoverlap="f" filled="f" stroked="f" strokeweight=".5pt">
                <v:textbox inset="0,0,0,0">
                  <w:txbxContent>
                    <w:p w14:paraId="3F7BF977" w14:textId="3E60D9EA" w:rsidR="00C72A69" w:rsidRPr="002B18A5" w:rsidRDefault="00000000" w:rsidP="00C72A69">
                      <w:pPr>
                        <w:pStyle w:val="Ttulo"/>
                      </w:pPr>
                      <w:sdt>
                        <w:sdtPr>
                          <w:alias w:val="Título"/>
                          <w:tag w:val=""/>
                          <w:id w:val="-856891961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C72A69">
                            <w:t>Reporte de seguimiento de proyectos</w:t>
                          </w:r>
                        </w:sdtContent>
                      </w:sdt>
                    </w:p>
                    <w:p w14:paraId="121E1709" w14:textId="69718869" w:rsidR="00C72A69" w:rsidRPr="00413512" w:rsidRDefault="002326B3" w:rsidP="00C72A69">
                      <w:pPr>
                        <w:pStyle w:val="Subttulo"/>
                      </w:pPr>
                      <w:r>
                        <w:t>ENERO</w:t>
                      </w:r>
                      <w:r w:rsidR="00A759D9">
                        <w:t>-</w:t>
                      </w:r>
                      <w:r>
                        <w:t>MARZO</w:t>
                      </w:r>
                      <w:r w:rsidR="00921B26">
                        <w:t xml:space="preserve"> 202</w:t>
                      </w:r>
                      <w: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486729" w14:textId="7C171AF0" w:rsidR="00C72A69" w:rsidRPr="009C7555" w:rsidRDefault="00C72A69" w:rsidP="00C72A69"/>
    <w:p w14:paraId="36AA59ED" w14:textId="77777777" w:rsidR="00C72A69" w:rsidRPr="009C7555" w:rsidRDefault="00C72A69" w:rsidP="00C72A69"/>
    <w:p w14:paraId="40489E42" w14:textId="77777777" w:rsidR="00C72A69" w:rsidRPr="009C7555" w:rsidRDefault="00C72A69" w:rsidP="00C72A69"/>
    <w:p w14:paraId="3CEC168E" w14:textId="77777777" w:rsidR="00C72A69" w:rsidRPr="009C7555" w:rsidRDefault="00C72A69" w:rsidP="00C72A69"/>
    <w:p w14:paraId="482A117D" w14:textId="77777777" w:rsidR="00C72A69" w:rsidRPr="009C7555" w:rsidRDefault="00C72A69" w:rsidP="00C72A69">
      <w:pPr>
        <w:sectPr w:rsidR="00C72A69" w:rsidRPr="009C7555" w:rsidSect="006B52FD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EDC254" w14:textId="77777777" w:rsidR="00C72A69" w:rsidRPr="009C7555" w:rsidRDefault="00C72A69" w:rsidP="00C72A69">
      <w:pPr>
        <w:pStyle w:val="Citadestacada"/>
        <w:rPr>
          <w:sz w:val="36"/>
        </w:rPr>
      </w:pPr>
      <w:r w:rsidRPr="009C7555">
        <w:rPr>
          <w:sz w:val="36"/>
        </w:rPr>
        <w:lastRenderedPageBreak/>
        <w:t>Reporte de Ejecución Financiera</w:t>
      </w:r>
    </w:p>
    <w:p w14:paraId="042E05DB" w14:textId="0D86FB1F" w:rsidR="0045749D" w:rsidRDefault="00C72A69" w:rsidP="00C72A69">
      <w:pPr>
        <w:jc w:val="both"/>
        <w:rPr>
          <w:rFonts w:ascii="Bookman Old Style" w:hAnsi="Bookman Old Style"/>
          <w:color w:val="auto"/>
          <w:sz w:val="24"/>
        </w:rPr>
      </w:pPr>
      <w:r w:rsidRPr="009C7555">
        <w:rPr>
          <w:rFonts w:ascii="Bookman Old Style" w:hAnsi="Bookman Old Style"/>
          <w:color w:val="auto"/>
          <w:sz w:val="24"/>
        </w:rPr>
        <w:t xml:space="preserve">Los proyectos que recibieron fondos para su ejecución durante </w:t>
      </w:r>
      <w:r w:rsidR="00BF0883">
        <w:rPr>
          <w:rFonts w:ascii="Bookman Old Style" w:hAnsi="Bookman Old Style"/>
          <w:color w:val="auto"/>
          <w:sz w:val="24"/>
        </w:rPr>
        <w:t xml:space="preserve">el trimestre </w:t>
      </w:r>
      <w:r w:rsidR="002326B3">
        <w:rPr>
          <w:rFonts w:ascii="Bookman Old Style" w:hAnsi="Bookman Old Style"/>
          <w:color w:val="auto"/>
          <w:sz w:val="24"/>
        </w:rPr>
        <w:t>Enero-Marzo 2024</w:t>
      </w:r>
      <w:r w:rsidRPr="009C7555">
        <w:rPr>
          <w:rFonts w:ascii="Bookman Old Style" w:hAnsi="Bookman Old Style"/>
          <w:color w:val="auto"/>
          <w:sz w:val="24"/>
        </w:rPr>
        <w:t xml:space="preserve"> se encuentran detallados en la siguiente tabla: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5787"/>
        <w:gridCol w:w="1921"/>
      </w:tblGrid>
      <w:tr w:rsidR="002326B3" w:rsidRPr="002326B3" w14:paraId="70496084" w14:textId="77777777" w:rsidTr="009A0FF6">
        <w:trPr>
          <w:trHeight w:val="1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FD4A43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</w:pPr>
            <w:r w:rsidRPr="00232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  <w:t>SNIP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916BB8B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</w:pPr>
            <w:r w:rsidRPr="00232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  <w:t>NOMBRE PROYECTO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576C0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</w:pPr>
            <w:r w:rsidRPr="002326B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s-MX" w:eastAsia="es-MX"/>
              </w:rPr>
              <w:t>MONTO</w:t>
            </w:r>
          </w:p>
        </w:tc>
      </w:tr>
      <w:tr w:rsidR="002326B3" w:rsidRPr="002326B3" w14:paraId="55020096" w14:textId="77777777" w:rsidTr="009A0FF6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A088DB5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5312601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REHABILITACION 17 CAÑADAS DISTRITO NACIONAL Y PROVINCIA SANTO DOMINGO, REGION OZAMA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98BD89F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2,124,934.36</w:t>
            </w:r>
          </w:p>
        </w:tc>
      </w:tr>
      <w:tr w:rsidR="002326B3" w:rsidRPr="002326B3" w14:paraId="0A165F4B" w14:textId="77777777" w:rsidTr="009A0FF6">
        <w:trPr>
          <w:trHeight w:val="5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8DD5681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E4C6ECC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FORTALECIMIENTO SERVICIO ABASTECIMIENTO DGO. OESTE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5438372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6,419,225.42</w:t>
            </w:r>
          </w:p>
        </w:tc>
      </w:tr>
      <w:tr w:rsidR="002326B3" w:rsidRPr="002326B3" w14:paraId="76A698E2" w14:textId="77777777" w:rsidTr="009A0FF6">
        <w:trPr>
          <w:trHeight w:val="6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752808A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319DBC3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MEJORAMIENTO REDES AGUA POTABLE EN EL DISTRITO NACIONAL, REGION OZAMA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210B96F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1,441,929.61</w:t>
            </w:r>
          </w:p>
        </w:tc>
      </w:tr>
      <w:tr w:rsidR="002326B3" w:rsidRPr="002326B3" w14:paraId="32F1F829" w14:textId="77777777" w:rsidTr="002326B3">
        <w:trPr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04413D4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EB9A46C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AMPLIACION DE LA RED DE ABASTECIMIENTO DE AGUA POTABLE PARA LOS ALCARRIZOS Y PANTOJA, PROVINCIA SANTO DOMINGO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2E5BF8B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1,698,119.36</w:t>
            </w:r>
          </w:p>
        </w:tc>
      </w:tr>
      <w:tr w:rsidR="002326B3" w:rsidRPr="002326B3" w14:paraId="4F9363ED" w14:textId="77777777" w:rsidTr="009A0FF6">
        <w:trPr>
          <w:trHeight w:val="7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7CA0D5F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D6FAC22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AMPLIACION DE LA MICRORED DE ABASTECIMIENTO DE AGUA POTABLE PARA EL BARRIO LA UREÑA, MUNICIPIO SANTO DOMINGO ESTE.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02B7E26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15,014,812.09</w:t>
            </w:r>
          </w:p>
        </w:tc>
      </w:tr>
      <w:tr w:rsidR="002326B3" w:rsidRPr="002326B3" w14:paraId="312CEFA5" w14:textId="77777777" w:rsidTr="009A0FF6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46D5921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201459E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AMPLIACION DE LA RED DE ABASTECIMIENTO DE AGUA POTABLE PARA EL MUNICIPIO SANTO DOMINGO NORTE.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5D89731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7,312,548.18</w:t>
            </w:r>
          </w:p>
        </w:tc>
      </w:tr>
      <w:tr w:rsidR="002326B3" w:rsidRPr="002326B3" w14:paraId="278C08CA" w14:textId="77777777" w:rsidTr="009A0FF6">
        <w:trPr>
          <w:trHeight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3F2534D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27279F4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FORTALECIMIENTO DE LA MICRORED DE ABASTECIMIENTO DE AGUA POTABLE PARA EL MUNICIPIO DE SANTO DOMINGO ESTE.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CBD5C56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10,891,494.34</w:t>
            </w:r>
          </w:p>
        </w:tc>
      </w:tr>
      <w:tr w:rsidR="002326B3" w:rsidRPr="002326B3" w14:paraId="4A9EB3CE" w14:textId="77777777" w:rsidTr="009A0FF6">
        <w:trPr>
          <w:trHeight w:val="9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239F40A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454087D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MEJORAMIENTO DE LA RED DE DISTRIBUCION DE AGUA POTABLE PARA LOS BARRIOS BRISAS DEL ESTE, VILLA ELOISA, LOTIFICACION DEL ESTE, LAS FLORES, MUNICIPIO SANTO DOMINGO ESTE.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6D6699E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10,839,934.09</w:t>
            </w:r>
          </w:p>
        </w:tc>
      </w:tr>
      <w:tr w:rsidR="002326B3" w:rsidRPr="002326B3" w14:paraId="5EC06FC4" w14:textId="77777777" w:rsidTr="009A0FF6">
        <w:trPr>
          <w:trHeight w:val="6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564C4C5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45DD98BA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AMPLIACIÓN ACUEDUCTO ORIENTAL BARRERA DE SALINIDAD Y TRASVASE A SANTO DOMINGO NORTE, FASE 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138E545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3,390,608.78</w:t>
            </w:r>
          </w:p>
        </w:tc>
      </w:tr>
      <w:tr w:rsidR="002326B3" w:rsidRPr="002326B3" w14:paraId="1E04385F" w14:textId="77777777" w:rsidTr="009A0FF6">
        <w:trPr>
          <w:trHeight w:val="5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78C9B08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82439CE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CONSTRUCCIÓN SISTEMA DE SANEAMIENTO CAÑADA MARAÑON, MUNICIPIO SANTO DOMINGO NORTE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0CA5AA4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89,405,369.41</w:t>
            </w:r>
          </w:p>
        </w:tc>
      </w:tr>
      <w:tr w:rsidR="002326B3" w:rsidRPr="002326B3" w14:paraId="146E2802" w14:textId="77777777" w:rsidTr="009A0FF6">
        <w:trPr>
          <w:trHeight w:val="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2F3527B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BAFF479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REHABILITACIÓN PLANTAS DE TRATAMIENTO DE AGUAS RESIDUALES VISTA BELLA, HAINAMOSA Y PRADOS DE SAN LUIS, PROVINCIA DE SANTO DOMINGO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5842C436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11,921,346.50</w:t>
            </w:r>
          </w:p>
        </w:tc>
      </w:tr>
      <w:tr w:rsidR="002326B3" w:rsidRPr="002326B3" w14:paraId="61CF90C3" w14:textId="77777777" w:rsidTr="009A0FF6">
        <w:trPr>
          <w:trHeight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10186C7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29C6706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CONSTRUCCIÓN SISTEMA DE SANEAMIENTO CAÑADA GIRASOLES, DISTRITO 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52905C8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19,299,183.86</w:t>
            </w:r>
          </w:p>
        </w:tc>
      </w:tr>
      <w:tr w:rsidR="002326B3" w:rsidRPr="002326B3" w14:paraId="23F17001" w14:textId="77777777" w:rsidTr="009A0FF6">
        <w:trPr>
          <w:trHeight w:val="8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2F17123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38E45ED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MEJORAMIENTO DE LOS SISTEMAS DE MEDICIÓN DE AGUA POTABLE EN LOS SECTORES NACO, PIANTINI, SERRALLES Y PARAÍSO, DISTRITO 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741D5276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16,800,889.64</w:t>
            </w:r>
          </w:p>
        </w:tc>
      </w:tr>
      <w:tr w:rsidR="002326B3" w:rsidRPr="002326B3" w14:paraId="60014789" w14:textId="77777777" w:rsidTr="009A0FF6">
        <w:trPr>
          <w:trHeight w:val="5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0062A903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14946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63FA98FA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AMPLIACIÓN DE LA RED DE ABASTECIMIENTO DE AGUA POTABLE DE 16 SECTORES DEL DISTRITO 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FCB9434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34,782,528.29</w:t>
            </w:r>
          </w:p>
        </w:tc>
      </w:tr>
      <w:tr w:rsidR="002326B3" w:rsidRPr="002326B3" w14:paraId="17295BE7" w14:textId="77777777" w:rsidTr="002326B3">
        <w:trPr>
          <w:trHeight w:val="2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C2238E6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15126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7ED9923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sz w:val="18"/>
                <w:szCs w:val="18"/>
                <w:lang w:val="es-MX" w:eastAsia="es-MX"/>
              </w:rPr>
              <w:t>CONSTRUCCIÓN SISTEMA DE SANEAMIENTO CAÑADAS ARROYO MANZANO Y ARROYO SECO, DISTRITO NACIONAL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3118956E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color w:val="FFFFFF"/>
                <w:kern w:val="0"/>
                <w:lang w:val="es-MX" w:eastAsia="es-MX"/>
              </w:rPr>
              <w:t>52,085,469.07</w:t>
            </w:r>
          </w:p>
        </w:tc>
      </w:tr>
      <w:tr w:rsidR="002326B3" w:rsidRPr="002326B3" w14:paraId="648CC197" w14:textId="77777777" w:rsidTr="002326B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8B77693" w14:textId="77777777" w:rsidR="002326B3" w:rsidRPr="002326B3" w:rsidRDefault="002326B3" w:rsidP="002326B3">
            <w:pPr>
              <w:spacing w:before="0"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214CAE16" w14:textId="77777777" w:rsidR="002326B3" w:rsidRPr="002326B3" w:rsidRDefault="002326B3" w:rsidP="002326B3">
            <w:pPr>
              <w:spacing w:before="0"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8894"/>
            <w:vAlign w:val="center"/>
            <w:hideMark/>
          </w:tcPr>
          <w:p w14:paraId="15BF3CD0" w14:textId="77777777" w:rsidR="002326B3" w:rsidRPr="002326B3" w:rsidRDefault="002326B3" w:rsidP="002326B3">
            <w:pPr>
              <w:spacing w:before="0"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</w:pPr>
            <w:r w:rsidRPr="002326B3">
              <w:rPr>
                <w:rFonts w:ascii="Verdana" w:eastAsia="Times New Roman" w:hAnsi="Verdana" w:cs="Calibri"/>
                <w:b/>
                <w:bCs/>
                <w:color w:val="FFFFFF"/>
                <w:kern w:val="0"/>
                <w:lang w:val="es-MX" w:eastAsia="es-MX"/>
              </w:rPr>
              <w:t>283,428,393.00</w:t>
            </w:r>
          </w:p>
        </w:tc>
      </w:tr>
    </w:tbl>
    <w:p w14:paraId="6837C8E5" w14:textId="77777777" w:rsidR="00F976C8" w:rsidRDefault="00F976C8" w:rsidP="00C72A69">
      <w:pPr>
        <w:jc w:val="both"/>
        <w:rPr>
          <w:rFonts w:ascii="Bookman Old Style" w:hAnsi="Bookman Old Style"/>
          <w:color w:val="auto"/>
          <w:sz w:val="24"/>
        </w:rPr>
      </w:pPr>
    </w:p>
    <w:p w14:paraId="71F85A67" w14:textId="5287395F" w:rsidR="002326B3" w:rsidRDefault="002326B3" w:rsidP="00C72A69">
      <w:pPr>
        <w:jc w:val="both"/>
        <w:rPr>
          <w:rFonts w:ascii="Bookman Old Style" w:hAnsi="Bookman Old Style"/>
          <w:color w:val="auto"/>
          <w:sz w:val="24"/>
        </w:rPr>
      </w:pPr>
      <w:r>
        <w:rPr>
          <w:noProof/>
        </w:rPr>
        <w:lastRenderedPageBreak/>
        <w:drawing>
          <wp:inline distT="0" distB="0" distL="0" distR="0" wp14:anchorId="28B0C62F" wp14:editId="4B45604B">
            <wp:extent cx="5400040" cy="3457575"/>
            <wp:effectExtent l="0" t="0" r="10160" b="9525"/>
            <wp:docPr id="15672414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68C3938-CA48-8A8E-D244-0968EE71F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C840C2" w14:textId="1907299C" w:rsidR="00CE746C" w:rsidRDefault="00CE746C" w:rsidP="00CE746C">
      <w:pPr>
        <w:rPr>
          <w:lang w:val="es-DO" w:eastAsia="es-DO"/>
        </w:rPr>
      </w:pPr>
    </w:p>
    <w:p w14:paraId="3BB9DDE7" w14:textId="77777777" w:rsidR="00A03160" w:rsidRPr="00CE746C" w:rsidRDefault="00A03160" w:rsidP="00CE746C">
      <w:pPr>
        <w:rPr>
          <w:lang w:val="es-DO" w:eastAsia="es-DO"/>
        </w:rPr>
      </w:pPr>
    </w:p>
    <w:p w14:paraId="7367DA94" w14:textId="586F60EA" w:rsidR="00B460F5" w:rsidRDefault="002326B3" w:rsidP="00BF0883">
      <w:pPr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43E5D70F" wp14:editId="7A4785C1">
            <wp:extent cx="5400040" cy="3914775"/>
            <wp:effectExtent l="0" t="0" r="10160" b="9525"/>
            <wp:docPr id="115742256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DABAC5-A64B-17D5-D34F-9CD479B79F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D7FA64A" w14:textId="2EC02E0F" w:rsidR="00B460F5" w:rsidRDefault="00B460F5" w:rsidP="00BF0883">
      <w:pPr>
        <w:rPr>
          <w:noProof/>
          <w:lang w:val="es-DO" w:eastAsia="es-DO"/>
        </w:rPr>
      </w:pPr>
    </w:p>
    <w:p w14:paraId="3E3FB38A" w14:textId="435BDF58" w:rsidR="00B460F5" w:rsidRDefault="00B460F5" w:rsidP="00BF0883">
      <w:pPr>
        <w:rPr>
          <w:noProof/>
          <w:lang w:val="es-DO" w:eastAsia="es-DO"/>
        </w:rPr>
      </w:pPr>
    </w:p>
    <w:p w14:paraId="608D68C9" w14:textId="0E5C9D8C" w:rsidR="0074421F" w:rsidRDefault="0074421F" w:rsidP="00BF0883">
      <w:pPr>
        <w:rPr>
          <w:noProof/>
          <w:lang w:val="es-DO" w:eastAsia="es-DO"/>
        </w:rPr>
      </w:pPr>
    </w:p>
    <w:p w14:paraId="56B494BC" w14:textId="1214A9B4" w:rsidR="000F062B" w:rsidRDefault="000F062B" w:rsidP="00BF0883">
      <w:pPr>
        <w:rPr>
          <w:noProof/>
          <w:lang w:val="es-DO" w:eastAsia="es-DO"/>
        </w:rPr>
      </w:pPr>
    </w:p>
    <w:p w14:paraId="2C4A5057" w14:textId="791AB6A3" w:rsidR="00453B7A" w:rsidRPr="00D150EF" w:rsidRDefault="00CB2D71" w:rsidP="00D150EF">
      <w:pPr>
        <w:jc w:val="center"/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10DD9024" wp14:editId="47C62D1C">
            <wp:extent cx="5400040" cy="2155825"/>
            <wp:effectExtent l="0" t="0" r="10160" b="15875"/>
            <wp:docPr id="178105275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72A69" w:rsidRPr="00CE746C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E746C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separate"/>
      </w:r>
      <w:r w:rsidR="00940F70" w:rsidRPr="00CE746C">
        <w:rPr>
          <w:i/>
          <w:iCs/>
          <w:color w:val="44546A" w:themeColor="text2"/>
          <w:sz w:val="18"/>
          <w:szCs w:val="18"/>
        </w:rPr>
        <w:t>1</w:t>
      </w:r>
      <w:r w:rsidR="00C72A69" w:rsidRPr="00CE746C">
        <w:rPr>
          <w:i/>
          <w:iCs/>
          <w:color w:val="44546A" w:themeColor="text2"/>
          <w:sz w:val="18"/>
          <w:szCs w:val="18"/>
        </w:rPr>
        <w:fldChar w:fldCharType="end"/>
      </w:r>
      <w:r w:rsidR="00C93167" w:rsidRPr="00CE746C">
        <w:rPr>
          <w:i/>
          <w:iCs/>
          <w:color w:val="44546A" w:themeColor="text2"/>
          <w:sz w:val="18"/>
          <w:szCs w:val="18"/>
        </w:rPr>
        <w:t>:</w:t>
      </w:r>
      <w:r w:rsidR="00277462" w:rsidRPr="00CE746C">
        <w:rPr>
          <w:i/>
          <w:iCs/>
          <w:color w:val="44546A" w:themeColor="text2"/>
          <w:sz w:val="18"/>
          <w:szCs w:val="18"/>
        </w:rPr>
        <w:t xml:space="preserve"> Resumen de la Inversión en 202</w:t>
      </w:r>
      <w:r w:rsidR="002326B3">
        <w:rPr>
          <w:i/>
          <w:iCs/>
          <w:color w:val="44546A" w:themeColor="text2"/>
          <w:sz w:val="18"/>
          <w:szCs w:val="18"/>
        </w:rPr>
        <w:t>4</w:t>
      </w:r>
    </w:p>
    <w:p w14:paraId="68091236" w14:textId="69EB7998" w:rsidR="0095409E" w:rsidRPr="007F4C90" w:rsidRDefault="002326B3" w:rsidP="007F4C90">
      <w:pPr>
        <w:spacing w:before="0"/>
        <w:jc w:val="center"/>
        <w:rPr>
          <w:noProof/>
        </w:rPr>
      </w:pPr>
      <w:r>
        <w:rPr>
          <w:noProof/>
        </w:rPr>
        <w:drawing>
          <wp:inline distT="0" distB="0" distL="0" distR="0" wp14:anchorId="09A4BA8D" wp14:editId="0315E75C">
            <wp:extent cx="5400040" cy="3307715"/>
            <wp:effectExtent l="0" t="0" r="10160" b="6985"/>
            <wp:docPr id="11835932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267E0">
        <w:rPr>
          <w:i/>
          <w:iCs/>
          <w:color w:val="44546A" w:themeColor="text2"/>
          <w:sz w:val="18"/>
          <w:szCs w:val="18"/>
        </w:rPr>
        <w:t xml:space="preserve">Ilustración 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begin"/>
      </w:r>
      <w:r w:rsidR="00C72A69" w:rsidRPr="00C93167">
        <w:rPr>
          <w:i/>
          <w:iCs/>
          <w:color w:val="44546A" w:themeColor="text2"/>
          <w:sz w:val="18"/>
          <w:szCs w:val="18"/>
        </w:rPr>
        <w:instrText xml:space="preserve"> SEQ Ilustración \* ARABIC </w:instrTex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separate"/>
      </w:r>
      <w:r w:rsidR="00940F70" w:rsidRPr="00C93167">
        <w:rPr>
          <w:i/>
          <w:iCs/>
          <w:color w:val="44546A" w:themeColor="text2"/>
          <w:sz w:val="18"/>
          <w:szCs w:val="18"/>
        </w:rPr>
        <w:t>2</w:t>
      </w:r>
      <w:r w:rsidR="00C72A69" w:rsidRPr="00C93167">
        <w:rPr>
          <w:i/>
          <w:iCs/>
          <w:color w:val="44546A" w:themeColor="text2"/>
          <w:sz w:val="18"/>
          <w:szCs w:val="18"/>
        </w:rPr>
        <w:fldChar w:fldCharType="end"/>
      </w:r>
      <w:r w:rsidR="00C72A69" w:rsidRPr="00C93167">
        <w:rPr>
          <w:i/>
          <w:iCs/>
          <w:color w:val="44546A" w:themeColor="text2"/>
          <w:sz w:val="18"/>
          <w:szCs w:val="18"/>
        </w:rPr>
        <w:t>: Evolu</w:t>
      </w:r>
      <w:r w:rsidR="00C93167" w:rsidRPr="00C93167">
        <w:rPr>
          <w:i/>
          <w:iCs/>
          <w:color w:val="44546A" w:themeColor="text2"/>
          <w:sz w:val="18"/>
          <w:szCs w:val="18"/>
        </w:rPr>
        <w:t xml:space="preserve">ción de la Inversión </w:t>
      </w:r>
      <w:r w:rsidR="00277462">
        <w:rPr>
          <w:i/>
          <w:iCs/>
          <w:color w:val="44546A" w:themeColor="text2"/>
          <w:sz w:val="18"/>
          <w:szCs w:val="18"/>
        </w:rPr>
        <w:t>Durante 202</w:t>
      </w:r>
      <w:r>
        <w:rPr>
          <w:i/>
          <w:iCs/>
          <w:color w:val="44546A" w:themeColor="text2"/>
          <w:sz w:val="18"/>
          <w:szCs w:val="18"/>
        </w:rPr>
        <w:t>4</w:t>
      </w:r>
    </w:p>
    <w:p w14:paraId="69538465" w14:textId="77777777" w:rsidR="00165229" w:rsidRDefault="00165229" w:rsidP="00277462">
      <w:pPr>
        <w:jc w:val="center"/>
        <w:rPr>
          <w:i/>
          <w:iCs/>
          <w:color w:val="44546A" w:themeColor="text2"/>
          <w:sz w:val="18"/>
          <w:szCs w:val="18"/>
        </w:rPr>
      </w:pPr>
    </w:p>
    <w:p w14:paraId="1A1282F7" w14:textId="4A9D4AE8" w:rsidR="0090009B" w:rsidRDefault="0090009B" w:rsidP="00277462">
      <w:r>
        <w:t xml:space="preserve">          </w:t>
      </w:r>
      <w:r w:rsidR="005114D0">
        <w:t>Elaborado</w:t>
      </w:r>
      <w:r>
        <w:t xml:space="preserve"> por:                                                                                                       </w:t>
      </w:r>
      <w:r w:rsidR="0072522F">
        <w:t>Aprobado</w:t>
      </w:r>
      <w:r>
        <w:t xml:space="preserve"> por:</w:t>
      </w:r>
    </w:p>
    <w:p w14:paraId="01E1822C" w14:textId="77777777" w:rsidR="0072522F" w:rsidRDefault="0072522F" w:rsidP="0090009B">
      <w:pPr>
        <w:spacing w:after="0"/>
      </w:pPr>
    </w:p>
    <w:p w14:paraId="5336F0D5" w14:textId="405E6F52" w:rsidR="0090009B" w:rsidRDefault="0090009B" w:rsidP="0090009B">
      <w:pPr>
        <w:spacing w:after="0"/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B9B1C4" wp14:editId="2BE9C74D">
                <wp:simplePos x="0" y="0"/>
                <wp:positionH relativeFrom="column">
                  <wp:posOffset>3693160</wp:posOffset>
                </wp:positionH>
                <wp:positionV relativeFrom="paragraph">
                  <wp:posOffset>144145</wp:posOffset>
                </wp:positionV>
                <wp:extent cx="1296062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40C1" id="Conector recto 8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8pt,11.35pt" to="392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98CB9E" wp14:editId="2FC8584C">
                <wp:simplePos x="0" y="0"/>
                <wp:positionH relativeFrom="column">
                  <wp:posOffset>-6461</wp:posOffset>
                </wp:positionH>
                <wp:positionV relativeFrom="paragraph">
                  <wp:posOffset>108585</wp:posOffset>
                </wp:positionV>
                <wp:extent cx="1296062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78D3A" id="Conector recto 9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8.55pt" to="101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" strokecolor="windowText" strokeweight=".5pt">
                <v:stroke joinstyle="miter"/>
              </v:line>
            </w:pict>
          </mc:Fallback>
        </mc:AlternateContent>
      </w:r>
      <w:r>
        <w:tab/>
      </w:r>
    </w:p>
    <w:p w14:paraId="6C057053" w14:textId="0750C33B" w:rsidR="0072522F" w:rsidRPr="000C2F5C" w:rsidRDefault="0072522F" w:rsidP="0072522F">
      <w:pPr>
        <w:spacing w:before="0" w:after="0"/>
        <w:rPr>
          <w:rFonts w:ascii="Bookman Old Style" w:hAnsi="Bookman Old Style"/>
          <w:b/>
          <w:color w:val="auto"/>
          <w:sz w:val="18"/>
        </w:rPr>
      </w:pPr>
      <w:r>
        <w:rPr>
          <w:b/>
          <w:color w:val="000000" w:themeColor="text1"/>
        </w:rPr>
        <w:t xml:space="preserve">  </w:t>
      </w:r>
      <w:r w:rsidRPr="0072522F">
        <w:rPr>
          <w:b/>
          <w:color w:val="000000" w:themeColor="text1"/>
        </w:rPr>
        <w:t>Ing. Sergio Polanco</w:t>
      </w:r>
      <w:r w:rsidR="00BB77FF">
        <w:rPr>
          <w:b/>
          <w:color w:val="000000" w:themeColor="text1"/>
        </w:rPr>
        <w:t xml:space="preserve"> </w:t>
      </w:r>
      <w:r w:rsidR="0090009B">
        <w:rPr>
          <w:b/>
          <w:color w:val="000000" w:themeColor="text1"/>
        </w:rPr>
        <w:t xml:space="preserve">                                                                                           </w:t>
      </w:r>
      <w:r w:rsidRPr="000C2F5C">
        <w:rPr>
          <w:rFonts w:ascii="Bookman Old Style" w:hAnsi="Bookman Old Style"/>
          <w:b/>
          <w:color w:val="auto"/>
          <w:sz w:val="18"/>
        </w:rPr>
        <w:t>Lic. Katihusca Ledesma</w:t>
      </w:r>
    </w:p>
    <w:p w14:paraId="7CC5621D" w14:textId="762A0E65" w:rsidR="0072522F" w:rsidRPr="009C45DC" w:rsidRDefault="0090009B" w:rsidP="0072522F">
      <w:pPr>
        <w:spacing w:before="0" w:after="0"/>
        <w:jc w:val="center"/>
        <w:rPr>
          <w:sz w:val="14"/>
        </w:rPr>
      </w:pPr>
      <w:r>
        <w:rPr>
          <w:color w:val="000000" w:themeColor="text1"/>
        </w:rPr>
        <w:t xml:space="preserve"> </w:t>
      </w:r>
      <w:r w:rsidR="00A92A31">
        <w:rPr>
          <w:color w:val="000000" w:themeColor="text1"/>
        </w:rPr>
        <w:t xml:space="preserve"> </w:t>
      </w:r>
      <w:r w:rsidR="0072522F"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</w:t>
      </w:r>
      <w:r w:rsidR="0072522F" w:rsidRPr="0072522F">
        <w:rPr>
          <w:color w:val="000000" w:themeColor="text1"/>
        </w:rPr>
        <w:t>Enc. Depto. PPP</w:t>
      </w:r>
      <w:r>
        <w:rPr>
          <w:color w:val="000000" w:themeColor="text1"/>
        </w:rPr>
        <w:t xml:space="preserve">                                                                                    </w:t>
      </w:r>
      <w:r w:rsidR="0072522F" w:rsidRPr="00C64010">
        <w:rPr>
          <w:rFonts w:ascii="Bookman Old Style" w:hAnsi="Bookman Old Style"/>
          <w:color w:val="auto"/>
          <w:sz w:val="18"/>
        </w:rPr>
        <w:t>Directora Planificación y Desarrollo</w:t>
      </w:r>
    </w:p>
    <w:p w14:paraId="1436FF09" w14:textId="3B51F6DC" w:rsidR="0090009B" w:rsidRPr="008756B0" w:rsidRDefault="0090009B" w:rsidP="0090009B">
      <w:pPr>
        <w:tabs>
          <w:tab w:val="center" w:pos="4252"/>
          <w:tab w:val="left" w:pos="5397"/>
        </w:tabs>
        <w:spacing w:before="0" w:after="0"/>
        <w:rPr>
          <w:b/>
          <w:color w:val="000000" w:themeColor="text1"/>
        </w:rPr>
      </w:pPr>
    </w:p>
    <w:sectPr w:rsidR="0090009B" w:rsidRPr="00875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42EB" w14:textId="77777777" w:rsidR="006B52FD" w:rsidRDefault="006B52FD">
      <w:pPr>
        <w:spacing w:before="0" w:after="0" w:line="240" w:lineRule="auto"/>
      </w:pPr>
      <w:r>
        <w:separator/>
      </w:r>
    </w:p>
  </w:endnote>
  <w:endnote w:type="continuationSeparator" w:id="0">
    <w:p w14:paraId="186D6E2C" w14:textId="77777777" w:rsidR="006B52FD" w:rsidRDefault="006B52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229331"/>
      <w:docPartObj>
        <w:docPartGallery w:val="Page Numbers (Bottom of Page)"/>
        <w:docPartUnique/>
      </w:docPartObj>
    </w:sdtPr>
    <w:sdtContent>
      <w:p w14:paraId="20F58A53" w14:textId="7421F934" w:rsidR="00D929F1" w:rsidRDefault="00C72A69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0883">
          <w:rPr>
            <w:noProof/>
          </w:rPr>
          <w:t>2</w:t>
        </w:r>
        <w:r>
          <w:fldChar w:fldCharType="end"/>
        </w:r>
      </w:p>
    </w:sdtContent>
  </w:sdt>
  <w:p w14:paraId="06C8634E" w14:textId="77777777" w:rsidR="00D929F1" w:rsidRDefault="00D929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E8673" w14:textId="77777777" w:rsidR="006B52FD" w:rsidRDefault="006B52FD">
      <w:pPr>
        <w:spacing w:before="0" w:after="0" w:line="240" w:lineRule="auto"/>
      </w:pPr>
      <w:r>
        <w:separator/>
      </w:r>
    </w:p>
  </w:footnote>
  <w:footnote w:type="continuationSeparator" w:id="0">
    <w:p w14:paraId="516F7FA0" w14:textId="77777777" w:rsidR="006B52FD" w:rsidRDefault="006B52F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B42"/>
    <w:rsid w:val="00017748"/>
    <w:rsid w:val="000265F3"/>
    <w:rsid w:val="00035957"/>
    <w:rsid w:val="00043EEF"/>
    <w:rsid w:val="0005760F"/>
    <w:rsid w:val="000917DF"/>
    <w:rsid w:val="000A292D"/>
    <w:rsid w:val="000C7189"/>
    <w:rsid w:val="000D5BF5"/>
    <w:rsid w:val="000E02F1"/>
    <w:rsid w:val="000E7BE1"/>
    <w:rsid w:val="000F062B"/>
    <w:rsid w:val="000F317A"/>
    <w:rsid w:val="000F555A"/>
    <w:rsid w:val="00102594"/>
    <w:rsid w:val="00126495"/>
    <w:rsid w:val="001372E0"/>
    <w:rsid w:val="00142445"/>
    <w:rsid w:val="00165229"/>
    <w:rsid w:val="00192620"/>
    <w:rsid w:val="001B0BC4"/>
    <w:rsid w:val="001B4A52"/>
    <w:rsid w:val="001D15EF"/>
    <w:rsid w:val="001D242A"/>
    <w:rsid w:val="001D3D18"/>
    <w:rsid w:val="001E73FD"/>
    <w:rsid w:val="001F7189"/>
    <w:rsid w:val="00205D7F"/>
    <w:rsid w:val="00214C41"/>
    <w:rsid w:val="0021738B"/>
    <w:rsid w:val="00224CA8"/>
    <w:rsid w:val="00226F48"/>
    <w:rsid w:val="00231C91"/>
    <w:rsid w:val="002326B3"/>
    <w:rsid w:val="0023792B"/>
    <w:rsid w:val="002441A2"/>
    <w:rsid w:val="00251900"/>
    <w:rsid w:val="0025398F"/>
    <w:rsid w:val="00262477"/>
    <w:rsid w:val="00277462"/>
    <w:rsid w:val="00280219"/>
    <w:rsid w:val="00295948"/>
    <w:rsid w:val="002A0C99"/>
    <w:rsid w:val="002A69B4"/>
    <w:rsid w:val="002C2B77"/>
    <w:rsid w:val="002C7B4B"/>
    <w:rsid w:val="002E1C36"/>
    <w:rsid w:val="002E665C"/>
    <w:rsid w:val="002F7B42"/>
    <w:rsid w:val="00301F02"/>
    <w:rsid w:val="00347988"/>
    <w:rsid w:val="00361961"/>
    <w:rsid w:val="003634F7"/>
    <w:rsid w:val="003653E1"/>
    <w:rsid w:val="00373989"/>
    <w:rsid w:val="003A55A0"/>
    <w:rsid w:val="003B30FE"/>
    <w:rsid w:val="003C38CE"/>
    <w:rsid w:val="003C7C63"/>
    <w:rsid w:val="003F69DC"/>
    <w:rsid w:val="00406575"/>
    <w:rsid w:val="004138D0"/>
    <w:rsid w:val="004534AE"/>
    <w:rsid w:val="00453B7A"/>
    <w:rsid w:val="004568D5"/>
    <w:rsid w:val="0045749D"/>
    <w:rsid w:val="004620F6"/>
    <w:rsid w:val="004663E7"/>
    <w:rsid w:val="0047149A"/>
    <w:rsid w:val="00483259"/>
    <w:rsid w:val="00496F30"/>
    <w:rsid w:val="004A125D"/>
    <w:rsid w:val="004A2BB9"/>
    <w:rsid w:val="004B329B"/>
    <w:rsid w:val="004C0B67"/>
    <w:rsid w:val="004C33EB"/>
    <w:rsid w:val="004E51E5"/>
    <w:rsid w:val="005114D0"/>
    <w:rsid w:val="00517F96"/>
    <w:rsid w:val="005A3505"/>
    <w:rsid w:val="005B3E6B"/>
    <w:rsid w:val="005B76C3"/>
    <w:rsid w:val="005C4084"/>
    <w:rsid w:val="005E4C86"/>
    <w:rsid w:val="005E7A5A"/>
    <w:rsid w:val="005E7D85"/>
    <w:rsid w:val="005F4619"/>
    <w:rsid w:val="00616065"/>
    <w:rsid w:val="00626CB6"/>
    <w:rsid w:val="00631930"/>
    <w:rsid w:val="00635783"/>
    <w:rsid w:val="00641E96"/>
    <w:rsid w:val="00645DF6"/>
    <w:rsid w:val="00653A82"/>
    <w:rsid w:val="006B52FD"/>
    <w:rsid w:val="006C174A"/>
    <w:rsid w:val="006C505A"/>
    <w:rsid w:val="006D077D"/>
    <w:rsid w:val="006E72B3"/>
    <w:rsid w:val="006F3251"/>
    <w:rsid w:val="006F47C7"/>
    <w:rsid w:val="006F7215"/>
    <w:rsid w:val="00705089"/>
    <w:rsid w:val="00707C76"/>
    <w:rsid w:val="00722E2B"/>
    <w:rsid w:val="00724933"/>
    <w:rsid w:val="0072522F"/>
    <w:rsid w:val="00734F66"/>
    <w:rsid w:val="0074421F"/>
    <w:rsid w:val="00752CCB"/>
    <w:rsid w:val="007670A5"/>
    <w:rsid w:val="00770FD1"/>
    <w:rsid w:val="00790396"/>
    <w:rsid w:val="007A24A6"/>
    <w:rsid w:val="007D0274"/>
    <w:rsid w:val="007D11BC"/>
    <w:rsid w:val="007F4C90"/>
    <w:rsid w:val="00803B15"/>
    <w:rsid w:val="00811CBE"/>
    <w:rsid w:val="00814A44"/>
    <w:rsid w:val="008267E0"/>
    <w:rsid w:val="00860086"/>
    <w:rsid w:val="0087573B"/>
    <w:rsid w:val="00887801"/>
    <w:rsid w:val="008C0253"/>
    <w:rsid w:val="008E78C7"/>
    <w:rsid w:val="008E7E24"/>
    <w:rsid w:val="008F297B"/>
    <w:rsid w:val="0090009B"/>
    <w:rsid w:val="009029DF"/>
    <w:rsid w:val="00903018"/>
    <w:rsid w:val="00921B26"/>
    <w:rsid w:val="00936879"/>
    <w:rsid w:val="00936E70"/>
    <w:rsid w:val="00940F70"/>
    <w:rsid w:val="00947C3A"/>
    <w:rsid w:val="0095409E"/>
    <w:rsid w:val="00955D14"/>
    <w:rsid w:val="00960224"/>
    <w:rsid w:val="00985E68"/>
    <w:rsid w:val="0099150F"/>
    <w:rsid w:val="009A06B3"/>
    <w:rsid w:val="009A0FF6"/>
    <w:rsid w:val="009A7B79"/>
    <w:rsid w:val="009B0029"/>
    <w:rsid w:val="009B1182"/>
    <w:rsid w:val="009C0749"/>
    <w:rsid w:val="009C45DC"/>
    <w:rsid w:val="009D51AF"/>
    <w:rsid w:val="009D589E"/>
    <w:rsid w:val="00A03160"/>
    <w:rsid w:val="00A06CFF"/>
    <w:rsid w:val="00A21D3B"/>
    <w:rsid w:val="00A251C3"/>
    <w:rsid w:val="00A45539"/>
    <w:rsid w:val="00A471C5"/>
    <w:rsid w:val="00A5655B"/>
    <w:rsid w:val="00A66A76"/>
    <w:rsid w:val="00A705A9"/>
    <w:rsid w:val="00A755A1"/>
    <w:rsid w:val="00A759D9"/>
    <w:rsid w:val="00A92A31"/>
    <w:rsid w:val="00AB4FBE"/>
    <w:rsid w:val="00AB7386"/>
    <w:rsid w:val="00AC5806"/>
    <w:rsid w:val="00AE1BFD"/>
    <w:rsid w:val="00B07E56"/>
    <w:rsid w:val="00B12C23"/>
    <w:rsid w:val="00B24D36"/>
    <w:rsid w:val="00B41936"/>
    <w:rsid w:val="00B460F5"/>
    <w:rsid w:val="00B65EC4"/>
    <w:rsid w:val="00B74118"/>
    <w:rsid w:val="00B75C37"/>
    <w:rsid w:val="00BA72C1"/>
    <w:rsid w:val="00BB77FF"/>
    <w:rsid w:val="00BC1345"/>
    <w:rsid w:val="00BD371B"/>
    <w:rsid w:val="00BE6E4D"/>
    <w:rsid w:val="00BF0883"/>
    <w:rsid w:val="00BF1C64"/>
    <w:rsid w:val="00C004F6"/>
    <w:rsid w:val="00C02B52"/>
    <w:rsid w:val="00C13BD9"/>
    <w:rsid w:val="00C2339F"/>
    <w:rsid w:val="00C44C79"/>
    <w:rsid w:val="00C6678A"/>
    <w:rsid w:val="00C72A69"/>
    <w:rsid w:val="00C736F4"/>
    <w:rsid w:val="00C81D17"/>
    <w:rsid w:val="00C8225A"/>
    <w:rsid w:val="00C93167"/>
    <w:rsid w:val="00C947AF"/>
    <w:rsid w:val="00CA5D2E"/>
    <w:rsid w:val="00CB2D71"/>
    <w:rsid w:val="00CC0989"/>
    <w:rsid w:val="00CE746C"/>
    <w:rsid w:val="00D0671B"/>
    <w:rsid w:val="00D150EF"/>
    <w:rsid w:val="00D3098C"/>
    <w:rsid w:val="00D316B7"/>
    <w:rsid w:val="00D75EAE"/>
    <w:rsid w:val="00D8750F"/>
    <w:rsid w:val="00D90B92"/>
    <w:rsid w:val="00D91D33"/>
    <w:rsid w:val="00D929F1"/>
    <w:rsid w:val="00DA79CC"/>
    <w:rsid w:val="00E019AD"/>
    <w:rsid w:val="00E10298"/>
    <w:rsid w:val="00E132DD"/>
    <w:rsid w:val="00E42F3F"/>
    <w:rsid w:val="00E50678"/>
    <w:rsid w:val="00E56269"/>
    <w:rsid w:val="00E87BE0"/>
    <w:rsid w:val="00EE01D9"/>
    <w:rsid w:val="00EE4DC6"/>
    <w:rsid w:val="00EF22F6"/>
    <w:rsid w:val="00F53E14"/>
    <w:rsid w:val="00F76326"/>
    <w:rsid w:val="00F95B20"/>
    <w:rsid w:val="00F976C8"/>
    <w:rsid w:val="00FA14F5"/>
    <w:rsid w:val="00FD03E0"/>
    <w:rsid w:val="00FD4EAB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AE950"/>
  <w15:docId w15:val="{D5635EF8-A31D-480B-8149-9379271B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69"/>
    <w:pPr>
      <w:spacing w:before="40" w:line="288" w:lineRule="auto"/>
    </w:pPr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0F70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9"/>
    <w:unhideWhenUsed/>
    <w:qFormat/>
    <w:rsid w:val="00C72A69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4472C4" w:themeColor="accent1"/>
      <w:sz w:val="56"/>
    </w:rPr>
  </w:style>
  <w:style w:type="character" w:customStyle="1" w:styleId="SubttuloCar">
    <w:name w:val="Subtítulo Car"/>
    <w:basedOn w:val="Fuentedeprrafopredeter"/>
    <w:link w:val="Subttulo"/>
    <w:uiPriority w:val="19"/>
    <w:rsid w:val="00C72A69"/>
    <w:rPr>
      <w:rFonts w:asciiTheme="majorHAnsi" w:eastAsiaTheme="majorEastAsia" w:hAnsiTheme="majorHAnsi" w:cstheme="majorBidi"/>
      <w:caps/>
      <w:color w:val="4472C4" w:themeColor="accent1"/>
      <w:kern w:val="20"/>
      <w:sz w:val="56"/>
      <w:szCs w:val="20"/>
      <w:lang w:val="es-ES" w:eastAsia="ja-JP"/>
    </w:rPr>
  </w:style>
  <w:style w:type="paragraph" w:styleId="Ttulo">
    <w:name w:val="Title"/>
    <w:basedOn w:val="Normal"/>
    <w:next w:val="Normal"/>
    <w:link w:val="TtuloCar"/>
    <w:uiPriority w:val="19"/>
    <w:unhideWhenUsed/>
    <w:qFormat/>
    <w:rsid w:val="00C72A69"/>
    <w:pPr>
      <w:pBdr>
        <w:top w:val="single" w:sz="4" w:space="16" w:color="4472C4" w:themeColor="accent1"/>
        <w:left w:val="single" w:sz="4" w:space="20" w:color="4472C4" w:themeColor="accent1"/>
        <w:bottom w:val="single" w:sz="4" w:space="16" w:color="4472C4" w:themeColor="accent1"/>
        <w:right w:val="single" w:sz="4" w:space="20" w:color="4472C4" w:themeColor="accent1"/>
      </w:pBdr>
      <w:shd w:val="clear" w:color="auto" w:fill="4472C4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sid w:val="00C72A69"/>
    <w:rPr>
      <w:rFonts w:asciiTheme="majorHAnsi" w:eastAsiaTheme="majorEastAsia" w:hAnsiTheme="majorHAnsi" w:cstheme="majorBidi"/>
      <w:caps/>
      <w:color w:val="FFFFFF" w:themeColor="background1"/>
      <w:kern w:val="28"/>
      <w:sz w:val="72"/>
      <w:szCs w:val="20"/>
      <w:shd w:val="clear" w:color="auto" w:fill="4472C4" w:themeFill="accent1"/>
      <w:lang w:val="es-ES" w:eastAsia="ja-JP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C72A69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A69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A69"/>
    <w:rPr>
      <w:i/>
      <w:iCs/>
      <w:color w:val="4472C4" w:themeColor="accent1"/>
      <w:kern w:val="20"/>
      <w:sz w:val="20"/>
      <w:szCs w:val="20"/>
      <w:lang w:val="es-ES" w:eastAsia="ja-JP"/>
    </w:rPr>
  </w:style>
  <w:style w:type="paragraph" w:styleId="Descripcin">
    <w:name w:val="caption"/>
    <w:basedOn w:val="Normal"/>
    <w:next w:val="Normal"/>
    <w:uiPriority w:val="35"/>
    <w:unhideWhenUsed/>
    <w:qFormat/>
    <w:rsid w:val="00C72A6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0F70"/>
    <w:rPr>
      <w:rFonts w:asciiTheme="majorHAnsi" w:eastAsiaTheme="majorEastAsia" w:hAnsiTheme="majorHAnsi" w:cstheme="majorBidi"/>
      <w:color w:val="1F3763" w:themeColor="accent1" w:themeShade="7F"/>
      <w:kern w:val="20"/>
      <w:sz w:val="24"/>
      <w:szCs w:val="24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unhideWhenUsed/>
    <w:rsid w:val="00940F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0F70"/>
    <w:rPr>
      <w:color w:val="595959" w:themeColor="text1" w:themeTint="A6"/>
      <w:kern w:val="20"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F7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F70"/>
    <w:rPr>
      <w:rFonts w:ascii="Segoe UI" w:hAnsi="Segoe UI" w:cs="Segoe UI"/>
      <w:color w:val="595959" w:themeColor="text1" w:themeTint="A6"/>
      <w:kern w:val="20"/>
      <w:sz w:val="18"/>
      <w:szCs w:val="18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endnotes" Target="endnotes.xml"/><Relationship Id="rId10" Type="http://schemas.openxmlformats.org/officeDocument/2006/relationships/chart" Target="charts/chart2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1er  trimestre 2024.xlsx]Tabla Final!TablaDinámica2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DEMARCACION</a:t>
            </a:r>
          </a:p>
        </c:rich>
      </c:tx>
      <c:layout>
        <c:manualLayout>
          <c:xMode val="edge"/>
          <c:yMode val="edge"/>
          <c:x val="0.35140260993833899"/>
          <c:y val="1.899917858591414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7784068788015009E-3"/>
              <c:y val="3.0398689179730104E-3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488961250177613"/>
              <c:y val="9.6953563496870579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276503626741006"/>
              <c:y val="6.0911770644054064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2.0496576408158378E-2"/>
              <c:y val="4.4724813244498236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6083342825370395"/>
              <c:y val="-0.1481199273167777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0.12709211346761531"/>
              <c:y val="0.10081284070260448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</c:pivotFmts>
    <c:plotArea>
      <c:layout>
        <c:manualLayout>
          <c:layoutTarget val="inner"/>
          <c:xMode val="edge"/>
          <c:yMode val="edge"/>
          <c:x val="0.209820340619536"/>
          <c:y val="0.1528610687555805"/>
          <c:w val="0.59025978332150286"/>
          <c:h val="0.71223232663004565"/>
        </c:manualLayout>
      </c:layout>
      <c:pieChart>
        <c:varyColors val="1"/>
        <c:ser>
          <c:idx val="0"/>
          <c:order val="0"/>
          <c:tx>
            <c:strRef>
              <c:f>'Tabla Final'!$N$7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482-44B9-8CB9-7AFA6BB598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482-44B9-8CB9-7AFA6BB5987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482-44B9-8CB9-7AFA6BB5987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482-44B9-8CB9-7AFA6BB5987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482-44B9-8CB9-7AFA6BB5987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482-44B9-8CB9-7AFA6BB59874}"/>
              </c:ext>
            </c:extLst>
          </c:dPt>
          <c:dLbls>
            <c:dLbl>
              <c:idx val="0"/>
              <c:layout>
                <c:manualLayout>
                  <c:x val="8.9701187398611867E-2"/>
                  <c:y val="0.1300113518867992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82-44B9-8CB9-7AFA6BB59874}"/>
                </c:ext>
              </c:extLst>
            </c:dLbl>
            <c:dLbl>
              <c:idx val="1"/>
              <c:layout>
                <c:manualLayout>
                  <c:x val="-0.1276503626741006"/>
                  <c:y val="6.091177064405406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82-44B9-8CB9-7AFA6BB59874}"/>
                </c:ext>
              </c:extLst>
            </c:dLbl>
            <c:dLbl>
              <c:idx val="2"/>
              <c:layout>
                <c:manualLayout>
                  <c:x val="2.0496576408158378E-2"/>
                  <c:y val="4.47248132444982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82-44B9-8CB9-7AFA6BB59874}"/>
                </c:ext>
              </c:extLst>
            </c:dLbl>
            <c:dLbl>
              <c:idx val="3"/>
              <c:layout>
                <c:manualLayout>
                  <c:x val="2.9130710142887831E-2"/>
                  <c:y val="4.288092087662596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82-44B9-8CB9-7AFA6BB59874}"/>
                </c:ext>
              </c:extLst>
            </c:dLbl>
            <c:dLbl>
              <c:idx val="4"/>
              <c:layout>
                <c:manualLayout>
                  <c:x val="-0.10573958711416953"/>
                  <c:y val="0.1375437987606921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82-44B9-8CB9-7AFA6BB59874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Final'!$M$8:$M$13</c:f>
              <c:strCache>
                <c:ptCount val="5"/>
                <c:pt idx="0">
                  <c:v>ALCARRIZOS</c:v>
                </c:pt>
                <c:pt idx="1">
                  <c:v>DN</c:v>
                </c:pt>
                <c:pt idx="2">
                  <c:v>SDE</c:v>
                </c:pt>
                <c:pt idx="3">
                  <c:v>SDN</c:v>
                </c:pt>
                <c:pt idx="4">
                  <c:v>SDO</c:v>
                </c:pt>
              </c:strCache>
            </c:strRef>
          </c:cat>
          <c:val>
            <c:numRef>
              <c:f>'Tabla Final'!$N$8:$N$13</c:f>
              <c:numCache>
                <c:formatCode>[$$-1C0A]#,##0.00</c:formatCode>
                <c:ptCount val="5"/>
                <c:pt idx="0">
                  <c:v>1698119.36</c:v>
                </c:pt>
                <c:pt idx="1">
                  <c:v>126534934.82999998</c:v>
                </c:pt>
                <c:pt idx="2">
                  <c:v>52058195.799999997</c:v>
                </c:pt>
                <c:pt idx="3">
                  <c:v>96717917.590000004</c:v>
                </c:pt>
                <c:pt idx="4">
                  <c:v>6419225.4199999999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482-44B9-8CB9-7AFA6BB5987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[Reporte de seguimiento 1er  trimestre 2024.xlsx]Tabla Final!TablaDinámica4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INVERSION POR CONCEPTO</a:t>
            </a:r>
          </a:p>
        </c:rich>
      </c:tx>
      <c:layout>
        <c:manualLayout>
          <c:xMode val="edge"/>
          <c:yMode val="edge"/>
          <c:x val="0.32164608699998976"/>
          <c:y val="6.94121729010698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ctr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3">
              <a:lumMod val="60000"/>
              <a:lumOff val="4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5570120577700483"/>
              <c:y val="-0.13351620635273084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  <c:dLblPos val="bestFit"/>
          <c:showLegendKey val="0"/>
          <c:showVal val="1"/>
          <c:showCatName val="1"/>
          <c:showSerName val="0"/>
          <c:showPercent val="1"/>
          <c:showBubbleSize val="0"/>
          <c:separator>
</c:separator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2">
              <a:lumMod val="50000"/>
            </a:schemeClr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>
        <c:manualLayout>
          <c:layoutTarget val="inner"/>
          <c:xMode val="edge"/>
          <c:yMode val="edge"/>
          <c:x val="0.2177282596122109"/>
          <c:y val="0.18505057403202305"/>
          <c:w val="0.62118296554732266"/>
          <c:h val="0.6537027643516552"/>
        </c:manualLayout>
      </c:layout>
      <c:pieChart>
        <c:varyColors val="1"/>
        <c:ser>
          <c:idx val="0"/>
          <c:order val="0"/>
          <c:tx>
            <c:strRef>
              <c:f>'Tabla Final'!$R$7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886-4C02-81BE-BA23C483201D}"/>
              </c:ext>
            </c:extLst>
          </c:dPt>
          <c:dPt>
            <c:idx val="1"/>
            <c:bubble3D val="0"/>
            <c:spPr>
              <a:solidFill>
                <a:schemeClr val="accent2">
                  <a:lumMod val="5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886-4C02-81BE-BA23C483201D}"/>
              </c:ext>
            </c:extLst>
          </c:dPt>
          <c:dLbls>
            <c:dLbl>
              <c:idx val="0"/>
              <c:layout>
                <c:manualLayout>
                  <c:x val="-0.15570120577700483"/>
                  <c:y val="-0.13351620635273084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86-4C02-81BE-BA23C483201D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'Tabla Final'!$Q$8:$Q$10</c:f>
              <c:strCache>
                <c:ptCount val="2"/>
                <c:pt idx="0">
                  <c:v>AGUA POTABLE</c:v>
                </c:pt>
                <c:pt idx="1">
                  <c:v>AGUA RESIDUAL</c:v>
                </c:pt>
              </c:strCache>
            </c:strRef>
          </c:cat>
          <c:val>
            <c:numRef>
              <c:f>'Tabla Final'!$R$8:$R$10</c:f>
              <c:numCache>
                <c:formatCode>"$"#,##0.00</c:formatCode>
                <c:ptCount val="2"/>
                <c:pt idx="0">
                  <c:v>108592089.80000001</c:v>
                </c:pt>
                <c:pt idx="1">
                  <c:v>174836303.19999999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886-4C02-81BE-BA23C483201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>
          <a:glow rad="1905000">
            <a:schemeClr val="accent5">
              <a:satMod val="175000"/>
            </a:schemeClr>
          </a:glow>
          <a:softEdge rad="863600"/>
        </a:effectLst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23559872274849"/>
          <c:y val="5.5555555555555552E-2"/>
          <c:w val="0.75282731790505886"/>
          <c:h val="0.7861883931175269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2023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'Res.Ejec'!$C$3:$H$3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9604-4E74-8C3D-42D86DD346CF}"/>
            </c:ext>
          </c:extLst>
        </c:ser>
        <c:ser>
          <c:idx val="1"/>
          <c:order val="1"/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2023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'Res.Ejec'!$C$4:$H$4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1-9604-4E74-8C3D-42D86DD346CF}"/>
            </c:ext>
          </c:extLst>
        </c:ser>
        <c:ser>
          <c:idx val="2"/>
          <c:order val="2"/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  <a:scene3d>
              <a:camera prst="orthographicFront">
                <a:rot lat="0" lon="0" rev="0"/>
              </a:camera>
              <a:lightRig rig="brightRoom" dir="tl">
                <a:rot lat="0" lon="0" rev="1800000"/>
              </a:lightRig>
            </a:scene3d>
            <a:sp3d contourW="10160" prstMaterial="dkEdge">
              <a:bevelT w="38100" h="50800" prst="angle"/>
              <a:contourClr>
                <a:scrgbClr r="0" g="0" b="0">
                  <a:shade val="40000"/>
                  <a:satMod val="150000"/>
                </a:scrgbClr>
              </a:contourClr>
            </a:sp3d>
          </c:spPr>
          <c:invertIfNegative val="0"/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604-4E74-8C3D-42D86DD346CF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brightRoom" dir="tl">
                  <a:rot lat="0" lon="0" rev="1800000"/>
                </a:lightRig>
              </a:scene3d>
              <a:sp3d contourW="10160" prstMaterial="dkEdge">
                <a:bevelT w="38100" h="50800" prst="angle"/>
                <a:contourClr>
                  <a:scrgbClr r="0" g="0" b="0">
                    <a:shade val="40000"/>
                    <a:satMod val="150000"/>
                  </a:scrgb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604-4E74-8C3D-42D86DD346CF}"/>
              </c:ext>
            </c:extLst>
          </c:dPt>
          <c:dLbls>
            <c:dLbl>
              <c:idx val="2"/>
              <c:layout>
                <c:manualLayout>
                  <c:x val="0"/>
                  <c:y val="-3.38777914881000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04-4E74-8C3D-42D86DD346CF}"/>
                </c:ext>
              </c:extLst>
            </c:dLbl>
            <c:dLbl>
              <c:idx val="4"/>
              <c:layout>
                <c:manualLayout>
                  <c:x val="-1.3523741113913354E-16"/>
                  <c:y val="-8.71143209694002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04-4E74-8C3D-42D86DD34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'Res.Ejec'!$C$2:$H$2</c:f>
              <c:strCache>
                <c:ptCount val="6"/>
                <c:pt idx="0">
                  <c:v>PRESUPUESTADO PARA EL 2023</c:v>
                </c:pt>
                <c:pt idx="1">
                  <c:v>PAGADO EN EL 1ER TRIMSTRE</c:v>
                </c:pt>
                <c:pt idx="2">
                  <c:v>DEVENGADO EN EL 1ER TRIMESTRE</c:v>
                </c:pt>
                <c:pt idx="3">
                  <c:v>PAGADO DURANTE EL AÑO</c:v>
                </c:pt>
                <c:pt idx="4">
                  <c:v>DEVENGADO DURANTE EL AÑO</c:v>
                </c:pt>
                <c:pt idx="5">
                  <c:v>INVERSION RESTANTE</c:v>
                </c:pt>
              </c:strCache>
            </c:strRef>
          </c:cat>
          <c:val>
            <c:numRef>
              <c:f>'Res.Ejec'!$C$5:$H$5</c:f>
              <c:numCache>
                <c:formatCode>#,##0.00</c:formatCode>
                <c:ptCount val="6"/>
                <c:pt idx="0">
                  <c:v>6989954231.2800007</c:v>
                </c:pt>
                <c:pt idx="1">
                  <c:v>283428393</c:v>
                </c:pt>
                <c:pt idx="2">
                  <c:v>443106728.38</c:v>
                </c:pt>
                <c:pt idx="3">
                  <c:v>283428393</c:v>
                </c:pt>
                <c:pt idx="4">
                  <c:v>443106728.38</c:v>
                </c:pt>
                <c:pt idx="5">
                  <c:v>6706525838.2800007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604-4E74-8C3D-42D86DD346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69204736"/>
        <c:axId val="161532160"/>
      </c:barChart>
      <c:catAx>
        <c:axId val="369204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2160"/>
        <c:crosses val="autoZero"/>
        <c:auto val="1"/>
        <c:lblAlgn val="ctr"/>
        <c:lblOffset val="100"/>
        <c:noMultiLvlLbl val="0"/>
      </c:catAx>
      <c:valAx>
        <c:axId val="161532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DO"/>
                  <a:t>RD$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4736"/>
        <c:crossesAt val="1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dLbl>
              <c:idx val="2"/>
              <c:layout>
                <c:manualLayout>
                  <c:x val="1.6462841015992474E-2"/>
                  <c:y val="-1.759754419998923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D8-41F8-A276-9E7FB3BFB7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'Historico de Desembolsos 2020'!$C$9:$N$9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'Historico de Desembolsos 2020'!$C$34:$N$34</c:f>
              <c:numCache>
                <c:formatCode>#,##0.00</c:formatCode>
                <c:ptCount val="12"/>
                <c:pt idx="0">
                  <c:v>1155874.6000000001</c:v>
                </c:pt>
                <c:pt idx="1">
                  <c:v>148218243.37</c:v>
                </c:pt>
                <c:pt idx="2">
                  <c:v>134054275.03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D8-41F8-A276-9E7FB3BFB7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69202688"/>
        <c:axId val="161530432"/>
      </c:barChart>
      <c:catAx>
        <c:axId val="36920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61530432"/>
        <c:crosses val="autoZero"/>
        <c:auto val="1"/>
        <c:lblAlgn val="ctr"/>
        <c:lblOffset val="100"/>
        <c:noMultiLvlLbl val="0"/>
      </c:catAx>
      <c:valAx>
        <c:axId val="16153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/>
                  <a:t>Pesos Dominicanos [RD$]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6920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0.42132</cdr:x>
      <cdr:y>0.86632</cdr:y>
    </cdr:from>
    <cdr:to>
      <cdr:x>0.58714</cdr:x>
      <cdr:y>1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292CEE2F-0DFA-4B5E-A358-97ED0568A2FC}"/>
            </a:ext>
          </a:extLst>
        </cdr:cNvPr>
        <cdr:cNvSpPr txBox="1"/>
      </cdr:nvSpPr>
      <cdr:spPr>
        <a:xfrm xmlns:a="http://schemas.openxmlformats.org/drawingml/2006/main">
          <a:off x="2371726" y="2376488"/>
          <a:ext cx="933450" cy="366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0.41963</cdr:x>
      <cdr:y>0.86856</cdr:y>
    </cdr:from>
    <cdr:to>
      <cdr:x>0.59391</cdr:x>
      <cdr:y>0.91403</cdr:y>
    </cdr:to>
    <cdr:sp macro="" textlink="">
      <cdr:nvSpPr>
        <cdr:cNvPr id="3" name="CuadroTexto 2">
          <a:extLst xmlns:a="http://schemas.openxmlformats.org/drawingml/2006/main">
            <a:ext uri="{FF2B5EF4-FFF2-40B4-BE49-F238E27FC236}">
              <a16:creationId xmlns:a16="http://schemas.microsoft.com/office/drawing/2014/main" id="{35029AD1-67B1-4904-A5A7-EB8AFE620D7A}"/>
            </a:ext>
          </a:extLst>
        </cdr:cNvPr>
        <cdr:cNvSpPr txBox="1"/>
      </cdr:nvSpPr>
      <cdr:spPr>
        <a:xfrm xmlns:a="http://schemas.openxmlformats.org/drawingml/2006/main">
          <a:off x="2362200" y="2328863"/>
          <a:ext cx="981075" cy="1219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  <cdr:relSizeAnchor xmlns:cdr="http://schemas.openxmlformats.org/drawingml/2006/chartDrawing">
    <cdr:from>
      <cdr:x>0.42132</cdr:x>
      <cdr:y>0.86146</cdr:y>
    </cdr:from>
    <cdr:to>
      <cdr:x>0.58714</cdr:x>
      <cdr:y>0.91829</cdr:y>
    </cdr:to>
    <cdr:sp macro="" textlink="">
      <cdr:nvSpPr>
        <cdr:cNvPr id="4" name="CuadroTexto 3">
          <a:extLst xmlns:a="http://schemas.openxmlformats.org/drawingml/2006/main">
            <a:ext uri="{FF2B5EF4-FFF2-40B4-BE49-F238E27FC236}">
              <a16:creationId xmlns:a16="http://schemas.microsoft.com/office/drawing/2014/main" id="{DB6F421A-1D2E-4EE3-8D45-9B2A093BD8A5}"/>
            </a:ext>
          </a:extLst>
        </cdr:cNvPr>
        <cdr:cNvSpPr txBox="1"/>
      </cdr:nvSpPr>
      <cdr:spPr>
        <a:xfrm xmlns:a="http://schemas.openxmlformats.org/drawingml/2006/main">
          <a:off x="2371725" y="2309813"/>
          <a:ext cx="933450" cy="152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DO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Verde azulado">
    <a:dk1>
      <a:sysClr val="windowText" lastClr="000000"/>
    </a:dk1>
    <a:lt1>
      <a:sysClr val="window" lastClr="FFFFFF"/>
    </a:lt1>
    <a:dk2>
      <a:srgbClr val="373545"/>
    </a:dk2>
    <a:lt2>
      <a:srgbClr val="CEDBE6"/>
    </a:lt2>
    <a:accent1>
      <a:srgbClr val="3494BA"/>
    </a:accent1>
    <a:accent2>
      <a:srgbClr val="58B6C0"/>
    </a:accent2>
    <a:accent3>
      <a:srgbClr val="75BDA7"/>
    </a:accent3>
    <a:accent4>
      <a:srgbClr val="7A8C8E"/>
    </a:accent4>
    <a:accent5>
      <a:srgbClr val="84ACB6"/>
    </a:accent5>
    <a:accent6>
      <a:srgbClr val="2683C6"/>
    </a:accent6>
    <a:hlink>
      <a:srgbClr val="6B9F25"/>
    </a:hlink>
    <a:folHlink>
      <a:srgbClr val="9F6715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Borde de resplandor">
    <a:fillStyleLst>
      <a:solidFill>
        <a:schemeClr val="phClr"/>
      </a:solidFill>
      <a:solidFill>
        <a:schemeClr val="phClr">
          <a:tint val="55000"/>
        </a:schemeClr>
      </a:solidFill>
      <a:solidFill>
        <a:schemeClr val="phClr"/>
      </a:solidFill>
    </a:fillStyleLst>
    <a:lnStyleLst>
      <a:ln w="12700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>
          <a:outerShdw blurRad="50800" dist="25400" algn="bl" rotWithShape="0">
            <a:srgbClr val="000000">
              <a:alpha val="60000"/>
            </a:srgbClr>
          </a:outerShdw>
        </a:effectLst>
      </a:effectStyle>
      <a:effectStyle>
        <a:effectLst/>
        <a:scene3d>
          <a:camera prst="orthographicFront">
            <a:rot lat="0" lon="0" rev="0"/>
          </a:camera>
          <a:lightRig rig="brightRoom" dir="tl">
            <a:rot lat="0" lon="0" rev="1800000"/>
          </a:lightRig>
        </a:scene3d>
        <a:sp3d contourW="10160" prstMaterial="dkEdge">
          <a:bevelT w="38100" h="50800" prst="angle"/>
          <a:contourClr>
            <a:schemeClr val="phClr">
              <a:shade val="4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seguimiento de proyectos</vt:lpstr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seguimiento de proyectos</dc:title>
  <dc:creator>Bolivar A. Revi Perez</dc:creator>
  <cp:lastModifiedBy>Sergio M. Polanco Albuerne</cp:lastModifiedBy>
  <cp:revision>19</cp:revision>
  <cp:lastPrinted>2018-11-13T11:53:00Z</cp:lastPrinted>
  <dcterms:created xsi:type="dcterms:W3CDTF">2023-10-13T13:44:00Z</dcterms:created>
  <dcterms:modified xsi:type="dcterms:W3CDTF">2024-04-16T15:13:00Z</dcterms:modified>
</cp:coreProperties>
</file>