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294"/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0"/>
      </w:tblGrid>
      <w:tr w:rsidR="00C72A69" w:rsidRPr="009C7555" w14:paraId="2D119A9E" w14:textId="77777777" w:rsidTr="00173FAD">
        <w:trPr>
          <w:trHeight w:val="37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D343" w14:textId="004B996D" w:rsidR="00C72A69" w:rsidRPr="009C7555" w:rsidRDefault="00FD4EAB" w:rsidP="00173FA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auto"/>
                <w:sz w:val="32"/>
                <w:lang w:eastAsia="es-ES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auto"/>
                <w:sz w:val="32"/>
                <w:lang w:eastAsia="es-ES"/>
              </w:rPr>
              <w:t xml:space="preserve"> </w:t>
            </w:r>
            <w:r w:rsidR="00C72A69" w:rsidRPr="009C7555">
              <w:rPr>
                <w:rFonts w:ascii="Arial Black" w:eastAsia="Times New Roman" w:hAnsi="Arial Black" w:cs="Calibri"/>
                <w:b/>
                <w:bCs/>
                <w:color w:val="auto"/>
                <w:sz w:val="32"/>
                <w:lang w:eastAsia="es-ES"/>
              </w:rPr>
              <w:t>CORPORACION DEL ACUEDUCTO Y ALCANTARILLADO DE SANTO DOMINGO</w:t>
            </w:r>
          </w:p>
        </w:tc>
      </w:tr>
      <w:tr w:rsidR="00C72A69" w:rsidRPr="009C7555" w14:paraId="1CD3BF45" w14:textId="77777777" w:rsidTr="00173FAD">
        <w:trPr>
          <w:trHeight w:val="45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5ABF" w14:textId="49558279" w:rsidR="00C72A69" w:rsidRPr="009C7555" w:rsidRDefault="00C72A69" w:rsidP="00173FA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auto"/>
                <w:sz w:val="32"/>
                <w:szCs w:val="28"/>
                <w:lang w:eastAsia="es-ES"/>
              </w:rPr>
            </w:pPr>
            <w:r w:rsidRPr="009C7555">
              <w:rPr>
                <w:rFonts w:ascii="Arial Black" w:eastAsia="Times New Roman" w:hAnsi="Arial Black" w:cs="Calibri"/>
                <w:b/>
                <w:bCs/>
                <w:color w:val="auto"/>
                <w:sz w:val="32"/>
                <w:szCs w:val="28"/>
                <w:lang w:eastAsia="es-ES"/>
              </w:rPr>
              <w:t>(CAASD)</w:t>
            </w:r>
          </w:p>
          <w:p w14:paraId="2656FF78" w14:textId="78670CD6" w:rsidR="00C72A69" w:rsidRPr="009C7555" w:rsidRDefault="0095409E" w:rsidP="00173FA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auto"/>
                <w:sz w:val="32"/>
                <w:szCs w:val="28"/>
                <w:lang w:eastAsia="es-ES"/>
              </w:rPr>
            </w:pPr>
            <w:r>
              <w:rPr>
                <w:noProof/>
              </w:rPr>
              <w:drawing>
                <wp:inline distT="0" distB="0" distL="0" distR="0" wp14:anchorId="01718ED3" wp14:editId="596E1140">
                  <wp:extent cx="2152650" cy="1031124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691" cy="1086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936D44" w14:textId="77777777" w:rsidR="00C72A69" w:rsidRPr="009C7555" w:rsidRDefault="00C72A69" w:rsidP="00173FAD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auto"/>
                <w:sz w:val="32"/>
                <w:szCs w:val="28"/>
                <w:lang w:eastAsia="es-ES"/>
              </w:rPr>
            </w:pPr>
          </w:p>
        </w:tc>
      </w:tr>
      <w:tr w:rsidR="00C72A69" w:rsidRPr="009C7555" w14:paraId="553A7F6D" w14:textId="77777777" w:rsidTr="00173FAD">
        <w:trPr>
          <w:trHeight w:val="42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FC8F" w14:textId="77777777" w:rsidR="00B65EC4" w:rsidRDefault="00B65EC4" w:rsidP="00173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  <w:lang w:eastAsia="es-ES"/>
              </w:rPr>
            </w:pPr>
          </w:p>
          <w:p w14:paraId="4B756199" w14:textId="208770CC" w:rsidR="00C72A69" w:rsidRDefault="00C72A69" w:rsidP="00173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  <w:lang w:eastAsia="es-ES"/>
              </w:rPr>
            </w:pPr>
            <w:r w:rsidRPr="009C7555"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  <w:lang w:eastAsia="es-ES"/>
              </w:rPr>
              <w:t>Dirección de Planificación y Desarrollo Institucional</w:t>
            </w:r>
          </w:p>
          <w:p w14:paraId="025D6D65" w14:textId="5294805E" w:rsidR="00C72A69" w:rsidRPr="009C7555" w:rsidRDefault="00C72A69" w:rsidP="00173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  <w:lang w:eastAsia="es-ES"/>
              </w:rPr>
            </w:pPr>
            <w:r w:rsidRPr="009C755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s-ES"/>
              </w:rPr>
              <w:t>Depto. Formulación, Análisis y Evaluación de PPP</w:t>
            </w:r>
          </w:p>
        </w:tc>
      </w:tr>
    </w:tbl>
    <w:p w14:paraId="45609D30" w14:textId="19B309BE" w:rsidR="00C72A69" w:rsidRPr="009C7555" w:rsidRDefault="00C72A69" w:rsidP="00C72A69"/>
    <w:p w14:paraId="267B17F3" w14:textId="77777777" w:rsidR="00C72A69" w:rsidRPr="009C7555" w:rsidRDefault="00C72A69" w:rsidP="00C72A69"/>
    <w:p w14:paraId="5B529320" w14:textId="77777777" w:rsidR="00C72A69" w:rsidRPr="009C7555" w:rsidRDefault="00C72A69" w:rsidP="00C72A69"/>
    <w:p w14:paraId="09E32844" w14:textId="77777777" w:rsidR="00C72A69" w:rsidRPr="009C7555" w:rsidRDefault="00C72A69" w:rsidP="00C72A69"/>
    <w:p w14:paraId="6A8C72EC" w14:textId="77777777" w:rsidR="00C72A69" w:rsidRPr="009C7555" w:rsidRDefault="00C72A69" w:rsidP="00C72A69"/>
    <w:p w14:paraId="2921A6BF" w14:textId="77777777" w:rsidR="00C72A69" w:rsidRPr="009C7555" w:rsidRDefault="00C72A69" w:rsidP="00C72A69"/>
    <w:p w14:paraId="0B06AD27" w14:textId="77777777" w:rsidR="00C72A69" w:rsidRPr="009C7555" w:rsidRDefault="00C72A69" w:rsidP="00C72A69"/>
    <w:p w14:paraId="1A2D7AC0" w14:textId="77777777" w:rsidR="00C72A69" w:rsidRPr="009C7555" w:rsidRDefault="00C72A69" w:rsidP="00C72A69"/>
    <w:p w14:paraId="5DCAD976" w14:textId="06F3A9BF" w:rsidR="00C72A69" w:rsidRPr="009C7555" w:rsidRDefault="00C72A69" w:rsidP="00C72A69"/>
    <w:p w14:paraId="4A05692C" w14:textId="4CC3BA1C" w:rsidR="00C72A69" w:rsidRPr="009C7555" w:rsidRDefault="00B65EC4" w:rsidP="00C72A69">
      <w:r w:rsidRPr="009C7555">
        <w:rPr>
          <w:noProof/>
          <w:lang w:val="es-DO" w:eastAsia="es-DO"/>
        </w:rPr>
        <w:drawing>
          <wp:anchor distT="0" distB="0" distL="114300" distR="114300" simplePos="0" relativeHeight="251659776" behindDoc="0" locked="0" layoutInCell="1" allowOverlap="1" wp14:anchorId="4BE8CC57" wp14:editId="2A8D04D0">
            <wp:simplePos x="0" y="0"/>
            <wp:positionH relativeFrom="margin">
              <wp:align>left</wp:align>
            </wp:positionH>
            <wp:positionV relativeFrom="paragraph">
              <wp:posOffset>363899</wp:posOffset>
            </wp:positionV>
            <wp:extent cx="5400040" cy="4050030"/>
            <wp:effectExtent l="0" t="0" r="0" b="762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port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086A3" w14:textId="10507903" w:rsidR="00C72A69" w:rsidRPr="009C7555" w:rsidRDefault="00C72A69" w:rsidP="00C72A69"/>
    <w:p w14:paraId="455A0A42" w14:textId="75854446" w:rsidR="00C72A69" w:rsidRPr="009C7555" w:rsidRDefault="00C72A69" w:rsidP="00C72A69">
      <w:r w:rsidRPr="009C755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2B797796" wp14:editId="5B1050BD">
                <wp:simplePos x="0" y="0"/>
                <wp:positionH relativeFrom="page">
                  <wp:posOffset>600065</wp:posOffset>
                </wp:positionH>
                <wp:positionV relativeFrom="page">
                  <wp:posOffset>7819920</wp:posOffset>
                </wp:positionV>
                <wp:extent cx="6073254" cy="2415654"/>
                <wp:effectExtent l="0" t="0" r="3810" b="3810"/>
                <wp:wrapNone/>
                <wp:docPr id="6" name="Cuadro de texto 6" descr="Title, Subtitle, and Abstra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254" cy="24156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7BF977" w14:textId="3E60D9EA" w:rsidR="00C72A69" w:rsidRPr="002B18A5" w:rsidRDefault="00000000" w:rsidP="00C72A69">
                            <w:pPr>
                              <w:pStyle w:val="Ttulo"/>
                            </w:pPr>
                            <w:sdt>
                              <w:sdtPr>
                                <w:alias w:val="Título"/>
                                <w:tag w:val=""/>
                                <w:id w:val="-856891961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Content>
                                <w:r w:rsidR="00C72A69">
                                  <w:t>Reporte de seguimiento de proyectos</w:t>
                                </w:r>
                              </w:sdtContent>
                            </w:sdt>
                          </w:p>
                          <w:p w14:paraId="121E1709" w14:textId="64F3E9E5" w:rsidR="00C72A69" w:rsidRPr="00413512" w:rsidRDefault="00A627F4" w:rsidP="00C72A69">
                            <w:pPr>
                              <w:pStyle w:val="Subttulo"/>
                            </w:pPr>
                            <w:r>
                              <w:t>JULIO</w:t>
                            </w:r>
                            <w:r w:rsidR="00A759D9">
                              <w:t>-</w:t>
                            </w:r>
                            <w:r>
                              <w:t>SEPTIEMBRE</w:t>
                            </w:r>
                            <w:r w:rsidR="00921B26">
                              <w:t xml:space="preserve"> 202</w:t>
                            </w:r>
                            <w:r w:rsidR="002326B3"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97796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alt="Title, Subtitle, and Abstract" style="position:absolute;margin-left:47.25pt;margin-top:615.75pt;width:478.2pt;height:190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" o:allowoverlap="f" filled="f" stroked="f" strokeweight=".5pt">
                <v:textbox inset="0,0,0,0">
                  <w:txbxContent>
                    <w:p w14:paraId="3F7BF977" w14:textId="3E60D9EA" w:rsidR="00C72A69" w:rsidRPr="002B18A5" w:rsidRDefault="00000000" w:rsidP="00C72A69">
                      <w:pPr>
                        <w:pStyle w:val="Ttulo"/>
                      </w:pPr>
                      <w:sdt>
                        <w:sdtPr>
                          <w:alias w:val="Título"/>
                          <w:tag w:val=""/>
                          <w:id w:val="-856891961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Content>
                          <w:r w:rsidR="00C72A69">
                            <w:t>Reporte de seguimiento de proyectos</w:t>
                          </w:r>
                        </w:sdtContent>
                      </w:sdt>
                    </w:p>
                    <w:p w14:paraId="121E1709" w14:textId="64F3E9E5" w:rsidR="00C72A69" w:rsidRPr="00413512" w:rsidRDefault="00A627F4" w:rsidP="00C72A69">
                      <w:pPr>
                        <w:pStyle w:val="Subttulo"/>
                      </w:pPr>
                      <w:r>
                        <w:t>JULIO</w:t>
                      </w:r>
                      <w:r w:rsidR="00A759D9">
                        <w:t>-</w:t>
                      </w:r>
                      <w:r>
                        <w:t>SEPTIEMBRE</w:t>
                      </w:r>
                      <w:r w:rsidR="00921B26">
                        <w:t xml:space="preserve"> 202</w:t>
                      </w:r>
                      <w:r w:rsidR="002326B3"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486729" w14:textId="7C171AF0" w:rsidR="00C72A69" w:rsidRPr="009C7555" w:rsidRDefault="00C72A69" w:rsidP="00C72A69"/>
    <w:p w14:paraId="36AA59ED" w14:textId="77777777" w:rsidR="00C72A69" w:rsidRPr="009C7555" w:rsidRDefault="00C72A69" w:rsidP="00C72A69"/>
    <w:p w14:paraId="40489E42" w14:textId="77777777" w:rsidR="00C72A69" w:rsidRPr="009C7555" w:rsidRDefault="00C72A69" w:rsidP="00C72A69"/>
    <w:p w14:paraId="3CEC168E" w14:textId="77777777" w:rsidR="00C72A69" w:rsidRPr="009C7555" w:rsidRDefault="00C72A69" w:rsidP="00C72A69"/>
    <w:p w14:paraId="482A117D" w14:textId="77777777" w:rsidR="00C72A69" w:rsidRPr="009C7555" w:rsidRDefault="00C72A69" w:rsidP="00C72A69">
      <w:pPr>
        <w:sectPr w:rsidR="00C72A69" w:rsidRPr="009C7555" w:rsidSect="006B52FD"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0EDC254" w14:textId="77777777" w:rsidR="00C72A69" w:rsidRPr="009C7555" w:rsidRDefault="00C72A69" w:rsidP="00C72A69">
      <w:pPr>
        <w:pStyle w:val="Citadestacada"/>
        <w:rPr>
          <w:sz w:val="36"/>
        </w:rPr>
      </w:pPr>
      <w:r w:rsidRPr="009C7555">
        <w:rPr>
          <w:sz w:val="36"/>
        </w:rPr>
        <w:lastRenderedPageBreak/>
        <w:t>Reporte de Ejecución Financiera</w:t>
      </w:r>
    </w:p>
    <w:p w14:paraId="042E05DB" w14:textId="2B2D7538" w:rsidR="0045749D" w:rsidRDefault="00C72A69" w:rsidP="00C72A69">
      <w:pPr>
        <w:jc w:val="both"/>
        <w:rPr>
          <w:rFonts w:ascii="Bookman Old Style" w:hAnsi="Bookman Old Style"/>
          <w:color w:val="auto"/>
          <w:sz w:val="24"/>
        </w:rPr>
      </w:pPr>
      <w:r w:rsidRPr="009C7555">
        <w:rPr>
          <w:rFonts w:ascii="Bookman Old Style" w:hAnsi="Bookman Old Style"/>
          <w:color w:val="auto"/>
          <w:sz w:val="24"/>
        </w:rPr>
        <w:t xml:space="preserve">Los proyectos que recibieron fondos para su ejecución durante </w:t>
      </w:r>
      <w:r w:rsidR="00BF0883">
        <w:rPr>
          <w:rFonts w:ascii="Bookman Old Style" w:hAnsi="Bookman Old Style"/>
          <w:color w:val="auto"/>
          <w:sz w:val="24"/>
        </w:rPr>
        <w:t xml:space="preserve">el trimestre </w:t>
      </w:r>
      <w:r w:rsidR="00A627F4">
        <w:rPr>
          <w:rFonts w:ascii="Bookman Old Style" w:hAnsi="Bookman Old Style"/>
          <w:color w:val="auto"/>
          <w:sz w:val="24"/>
        </w:rPr>
        <w:t>julio</w:t>
      </w:r>
      <w:r w:rsidR="00DD740C">
        <w:rPr>
          <w:rFonts w:ascii="Bookman Old Style" w:hAnsi="Bookman Old Style"/>
          <w:color w:val="auto"/>
          <w:sz w:val="24"/>
        </w:rPr>
        <w:t xml:space="preserve"> - </w:t>
      </w:r>
      <w:r w:rsidR="00A627F4">
        <w:rPr>
          <w:rFonts w:ascii="Bookman Old Style" w:hAnsi="Bookman Old Style"/>
          <w:color w:val="auto"/>
          <w:sz w:val="24"/>
        </w:rPr>
        <w:t>septiembre</w:t>
      </w:r>
      <w:r w:rsidR="002326B3">
        <w:rPr>
          <w:rFonts w:ascii="Bookman Old Style" w:hAnsi="Bookman Old Style"/>
          <w:color w:val="auto"/>
          <w:sz w:val="24"/>
        </w:rPr>
        <w:t xml:space="preserve"> 2024</w:t>
      </w:r>
      <w:r w:rsidRPr="009C7555">
        <w:rPr>
          <w:rFonts w:ascii="Bookman Old Style" w:hAnsi="Bookman Old Style"/>
          <w:color w:val="auto"/>
          <w:sz w:val="24"/>
        </w:rPr>
        <w:t xml:space="preserve"> se encuentran detallados en la siguiente tabla: </w:t>
      </w:r>
    </w:p>
    <w:tbl>
      <w:tblPr>
        <w:tblW w:w="7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3564"/>
        <w:gridCol w:w="1988"/>
      </w:tblGrid>
      <w:tr w:rsidR="00565C5A" w:rsidRPr="00565C5A" w14:paraId="5E81E583" w14:textId="77777777" w:rsidTr="00565C5A">
        <w:trPr>
          <w:trHeight w:val="435"/>
          <w:tblHeader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AA63BD" w14:textId="77777777" w:rsidR="00565C5A" w:rsidRPr="00565C5A" w:rsidRDefault="00565C5A" w:rsidP="00565C5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es-MX" w:eastAsia="es-MX"/>
              </w:rPr>
            </w:pPr>
            <w:r w:rsidRPr="00565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es-MX" w:eastAsia="es-MX"/>
              </w:rPr>
              <w:t>SNIP</w:t>
            </w:r>
          </w:p>
        </w:tc>
        <w:tc>
          <w:tcPr>
            <w:tcW w:w="35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C0FF15" w14:textId="77777777" w:rsidR="00565C5A" w:rsidRPr="00565C5A" w:rsidRDefault="00565C5A" w:rsidP="00565C5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es-MX" w:eastAsia="es-MX"/>
              </w:rPr>
            </w:pPr>
            <w:r w:rsidRPr="00565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es-MX" w:eastAsia="es-MX"/>
              </w:rPr>
              <w:t>NOMBRE PROYECTO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06B607" w14:textId="77777777" w:rsidR="00565C5A" w:rsidRPr="00565C5A" w:rsidRDefault="00565C5A" w:rsidP="00565C5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es-MX" w:eastAsia="es-MX"/>
              </w:rPr>
            </w:pPr>
            <w:r w:rsidRPr="00565C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es-MX" w:eastAsia="es-MX"/>
              </w:rPr>
              <w:t>MONTO</w:t>
            </w:r>
          </w:p>
        </w:tc>
      </w:tr>
      <w:tr w:rsidR="00565C5A" w:rsidRPr="00565C5A" w14:paraId="5AA2B4AE" w14:textId="77777777" w:rsidTr="00565C5A">
        <w:trPr>
          <w:trHeight w:val="84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384EAA8E" w14:textId="77777777" w:rsidR="00565C5A" w:rsidRPr="00565C5A" w:rsidRDefault="00565C5A" w:rsidP="00565C5A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14151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3CF1ECDE" w14:textId="77777777" w:rsidR="00565C5A" w:rsidRPr="00565C5A" w:rsidRDefault="00565C5A" w:rsidP="00565C5A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CONSTRUCCION SISTEMA DE SANEAMIENTO SANITARIO Y PLUVIAL CAÑADA GUAJIMIA FASE II, STO. DGO. OESTE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2818CDFA" w14:textId="77777777" w:rsidR="00565C5A" w:rsidRPr="00565C5A" w:rsidRDefault="00565C5A" w:rsidP="00565C5A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863,796,724.07</w:t>
            </w:r>
          </w:p>
        </w:tc>
      </w:tr>
      <w:tr w:rsidR="00565C5A" w:rsidRPr="00565C5A" w14:paraId="4012615A" w14:textId="77777777" w:rsidTr="00565C5A">
        <w:trPr>
          <w:trHeight w:val="63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2EFA4E47" w14:textId="77777777" w:rsidR="00565C5A" w:rsidRPr="00565C5A" w:rsidRDefault="00565C5A" w:rsidP="00565C5A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14177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5399D62E" w14:textId="77777777" w:rsidR="00565C5A" w:rsidRPr="00565C5A" w:rsidRDefault="00565C5A" w:rsidP="00565C5A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EQUIPAMIENTO AREAS SUSTANTIVAS DE LA CAASD, DISTRITO NACIONAL Y PROVINCIA SANTO DOMINGO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4FBA7B20" w14:textId="77777777" w:rsidR="00565C5A" w:rsidRPr="00565C5A" w:rsidRDefault="00565C5A" w:rsidP="00565C5A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21,080,754.62</w:t>
            </w:r>
          </w:p>
        </w:tc>
      </w:tr>
      <w:tr w:rsidR="00565C5A" w:rsidRPr="00565C5A" w14:paraId="35B7D852" w14:textId="77777777" w:rsidTr="00565C5A">
        <w:trPr>
          <w:trHeight w:val="63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1C2D94A9" w14:textId="77777777" w:rsidR="00565C5A" w:rsidRPr="00565C5A" w:rsidRDefault="00565C5A" w:rsidP="00565C5A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14183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1BACDE81" w14:textId="77777777" w:rsidR="00565C5A" w:rsidRPr="00565C5A" w:rsidRDefault="00565C5A" w:rsidP="00565C5A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REHABILITACION 17 CAÑADAS DISTRITO NACIONAL Y PROVINCIA SANTO DOMINGO, REGION OZAMA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51E0BCCD" w14:textId="77777777" w:rsidR="00565C5A" w:rsidRPr="00565C5A" w:rsidRDefault="00565C5A" w:rsidP="00565C5A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65,643,146.85</w:t>
            </w:r>
          </w:p>
        </w:tc>
      </w:tr>
      <w:tr w:rsidR="00565C5A" w:rsidRPr="00565C5A" w14:paraId="559FB07D" w14:textId="77777777" w:rsidTr="00565C5A">
        <w:trPr>
          <w:trHeight w:val="4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68F27F14" w14:textId="77777777" w:rsidR="00565C5A" w:rsidRPr="00565C5A" w:rsidRDefault="00565C5A" w:rsidP="00565C5A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14408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3A02126F" w14:textId="77777777" w:rsidR="00565C5A" w:rsidRPr="00565C5A" w:rsidRDefault="00565C5A" w:rsidP="00565C5A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 xml:space="preserve">AMPLIACION COBERTURA DEL ALCANTARILLADO EN EL DN.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7C8A02F0" w14:textId="77777777" w:rsidR="00565C5A" w:rsidRPr="00565C5A" w:rsidRDefault="00565C5A" w:rsidP="00565C5A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4,667,682.03</w:t>
            </w:r>
          </w:p>
        </w:tc>
      </w:tr>
      <w:tr w:rsidR="00565C5A" w:rsidRPr="00565C5A" w14:paraId="3A55951D" w14:textId="77777777" w:rsidTr="00565C5A">
        <w:trPr>
          <w:trHeight w:val="63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6A429CA0" w14:textId="77777777" w:rsidR="00565C5A" w:rsidRPr="00565C5A" w:rsidRDefault="00565C5A" w:rsidP="00565C5A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14409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187F9193" w14:textId="77777777" w:rsidR="00565C5A" w:rsidRPr="00565C5A" w:rsidRDefault="00565C5A" w:rsidP="00565C5A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AMPLIACION COBERTURA DEL ALCANTARILLADO EN LOS MUNICIPIOS STO DGO ESTE Y NORTE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71007A02" w14:textId="77777777" w:rsidR="00565C5A" w:rsidRPr="00565C5A" w:rsidRDefault="00565C5A" w:rsidP="00565C5A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28,269,961.44</w:t>
            </w:r>
          </w:p>
        </w:tc>
      </w:tr>
      <w:tr w:rsidR="00565C5A" w:rsidRPr="00565C5A" w14:paraId="739EAA0C" w14:textId="77777777" w:rsidTr="00565C5A">
        <w:trPr>
          <w:trHeight w:val="84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00465314" w14:textId="77777777" w:rsidR="00565C5A" w:rsidRPr="00565C5A" w:rsidRDefault="00565C5A" w:rsidP="00565C5A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14412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24EDDC11" w14:textId="77777777" w:rsidR="00565C5A" w:rsidRPr="00565C5A" w:rsidRDefault="00565C5A" w:rsidP="00565C5A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AMPLIACIÓN SERVICIOS DE AGUA POTABLE EN EL MUNICIPIO SANTO DOMINGO ESTE, PROVINCIA SANTO DOMINGO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54203BB0" w14:textId="77777777" w:rsidR="00565C5A" w:rsidRPr="00565C5A" w:rsidRDefault="00565C5A" w:rsidP="00565C5A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1,264,615.46</w:t>
            </w:r>
          </w:p>
        </w:tc>
      </w:tr>
      <w:tr w:rsidR="00565C5A" w:rsidRPr="00565C5A" w14:paraId="5E18E153" w14:textId="77777777" w:rsidTr="00565C5A">
        <w:trPr>
          <w:trHeight w:val="63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28EE89C5" w14:textId="77777777" w:rsidR="00565C5A" w:rsidRPr="00565C5A" w:rsidRDefault="00565C5A" w:rsidP="00565C5A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14414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62280456" w14:textId="77777777" w:rsidR="00565C5A" w:rsidRPr="00565C5A" w:rsidRDefault="00565C5A" w:rsidP="00565C5A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MEJORAMIENTO REDES AGUA POTABLE EN EL DISTRITO NACIONAL, REGION OZAMA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343B32CE" w14:textId="77777777" w:rsidR="00565C5A" w:rsidRPr="00565C5A" w:rsidRDefault="00565C5A" w:rsidP="00565C5A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6,269,194.80</w:t>
            </w:r>
          </w:p>
        </w:tc>
      </w:tr>
      <w:tr w:rsidR="00565C5A" w:rsidRPr="00565C5A" w14:paraId="62ACB42A" w14:textId="77777777" w:rsidTr="00565C5A">
        <w:trPr>
          <w:trHeight w:val="84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7B891AD8" w14:textId="77777777" w:rsidR="00565C5A" w:rsidRPr="00565C5A" w:rsidRDefault="00565C5A" w:rsidP="00565C5A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14447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55D7CDAC" w14:textId="77777777" w:rsidR="00565C5A" w:rsidRPr="00565C5A" w:rsidRDefault="00565C5A" w:rsidP="00565C5A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AMPLIACION DE LA RED DE ABASTECIMIENTO DE AGUA POTABLE PARA LOS ALCARRIZOS Y PANTOJA, PROVINCIA SANTO DOMINGO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52FA2D67" w14:textId="77777777" w:rsidR="00565C5A" w:rsidRPr="00565C5A" w:rsidRDefault="00565C5A" w:rsidP="00565C5A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8,406,636.65</w:t>
            </w:r>
          </w:p>
        </w:tc>
      </w:tr>
      <w:tr w:rsidR="00565C5A" w:rsidRPr="00565C5A" w14:paraId="6DF665C5" w14:textId="77777777" w:rsidTr="00565C5A">
        <w:trPr>
          <w:trHeight w:val="84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168890BE" w14:textId="77777777" w:rsidR="00565C5A" w:rsidRPr="00565C5A" w:rsidRDefault="00565C5A" w:rsidP="00565C5A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14448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10258891" w14:textId="77777777" w:rsidR="00565C5A" w:rsidRPr="00565C5A" w:rsidRDefault="00565C5A" w:rsidP="00565C5A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AMPLIACION DE LA MICRORED DE ABASTECIMIENTO DE AGUA POTABLE PARA EL BARRIO LA UREÑA, MUNICIPIO SANTO DOMINGO ESTE.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0AF4D75B" w14:textId="77777777" w:rsidR="00565C5A" w:rsidRPr="00565C5A" w:rsidRDefault="00565C5A" w:rsidP="00565C5A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10,468,885.28</w:t>
            </w:r>
          </w:p>
        </w:tc>
      </w:tr>
      <w:tr w:rsidR="00565C5A" w:rsidRPr="00565C5A" w14:paraId="39777381" w14:textId="77777777" w:rsidTr="00565C5A">
        <w:trPr>
          <w:trHeight w:val="84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20AB1ABF" w14:textId="77777777" w:rsidR="00565C5A" w:rsidRPr="00565C5A" w:rsidRDefault="00565C5A" w:rsidP="00565C5A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14450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5F2DE5AE" w14:textId="77777777" w:rsidR="00565C5A" w:rsidRPr="00565C5A" w:rsidRDefault="00565C5A" w:rsidP="00565C5A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AMPLIACION DE LA RED DE ABASTECIMIENTO DE AGUA POTABLE PARA EL MUNICIPIO SANTO DOMINGO NORTE.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7ED12B4F" w14:textId="77777777" w:rsidR="00565C5A" w:rsidRPr="00565C5A" w:rsidRDefault="00565C5A" w:rsidP="00565C5A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10,087,494.60</w:t>
            </w:r>
          </w:p>
        </w:tc>
      </w:tr>
      <w:tr w:rsidR="00565C5A" w:rsidRPr="00565C5A" w14:paraId="22DCE5AF" w14:textId="77777777" w:rsidTr="00565C5A">
        <w:trPr>
          <w:trHeight w:val="84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3696F4CE" w14:textId="77777777" w:rsidR="00565C5A" w:rsidRPr="00565C5A" w:rsidRDefault="00565C5A" w:rsidP="00565C5A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14451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583A4D9D" w14:textId="77777777" w:rsidR="00565C5A" w:rsidRPr="00565C5A" w:rsidRDefault="00565C5A" w:rsidP="00565C5A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FORTALECIMIENTO DE LA MICRORED DE ABASTECIMIENTO DE AGUA POTABLE PARA EL MUNICIPIO DE SANTO DOMINGO ESTE.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4FC06483" w14:textId="77777777" w:rsidR="00565C5A" w:rsidRPr="00565C5A" w:rsidRDefault="00565C5A" w:rsidP="00565C5A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10,263,501.43</w:t>
            </w:r>
          </w:p>
        </w:tc>
      </w:tr>
      <w:tr w:rsidR="00565C5A" w:rsidRPr="00565C5A" w14:paraId="1368C619" w14:textId="77777777" w:rsidTr="00565C5A">
        <w:trPr>
          <w:trHeight w:val="63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0F643A3A" w14:textId="77777777" w:rsidR="00565C5A" w:rsidRPr="00565C5A" w:rsidRDefault="00565C5A" w:rsidP="00565C5A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14534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131A79C5" w14:textId="77777777" w:rsidR="00565C5A" w:rsidRPr="00565C5A" w:rsidRDefault="00565C5A" w:rsidP="00565C5A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AMPLIACIÓN ACUEDUCTO ORIENTAL BARRERA DE SALINIDAD Y TRASVASE A SANTO DOMINGO NORTE, FASE II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79BE44F8" w14:textId="77777777" w:rsidR="00565C5A" w:rsidRPr="00565C5A" w:rsidRDefault="00565C5A" w:rsidP="00565C5A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69,916,403.96</w:t>
            </w:r>
          </w:p>
        </w:tc>
      </w:tr>
      <w:tr w:rsidR="00565C5A" w:rsidRPr="00565C5A" w14:paraId="5CF2A28F" w14:textId="77777777" w:rsidTr="00565C5A">
        <w:trPr>
          <w:trHeight w:val="105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3584650E" w14:textId="77777777" w:rsidR="00565C5A" w:rsidRPr="00565C5A" w:rsidRDefault="00565C5A" w:rsidP="00565C5A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14746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332597DD" w14:textId="77777777" w:rsidR="00565C5A" w:rsidRPr="00565C5A" w:rsidRDefault="00565C5A" w:rsidP="00565C5A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 xml:space="preserve">HABILITACIÓN DEL SISTEMA DE PRODUCCIÓN DE AGUA POTABLE LECHERÍA, SECTOR MANOGUAYABO, MUNICIPIO SANTO DOMINGO </w:t>
            </w:r>
            <w:proofErr w:type="gramStart"/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OESTE ,</w:t>
            </w:r>
            <w:proofErr w:type="gramEnd"/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PROV. SANTO DGO.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443FC197" w14:textId="77777777" w:rsidR="00565C5A" w:rsidRPr="00565C5A" w:rsidRDefault="00565C5A" w:rsidP="00565C5A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5,606,913.05</w:t>
            </w:r>
          </w:p>
        </w:tc>
      </w:tr>
      <w:tr w:rsidR="00565C5A" w:rsidRPr="00565C5A" w14:paraId="5DC4C185" w14:textId="77777777" w:rsidTr="00565C5A">
        <w:trPr>
          <w:trHeight w:val="84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63532695" w14:textId="77777777" w:rsidR="00565C5A" w:rsidRPr="00565C5A" w:rsidRDefault="00565C5A" w:rsidP="00565C5A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14757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07FC0BC8" w14:textId="77777777" w:rsidR="00565C5A" w:rsidRPr="00565C5A" w:rsidRDefault="00565C5A" w:rsidP="00565C5A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CONSTRUCCION SOLUCION PLUVIAL Y SANITARIA 2DA ETAPA DE LAS CAÑADAS VILLA EMILIA Y ALTOS DE SABANA PERDIDA, STO. DGO. NORTE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6B5CAF7A" w14:textId="77777777" w:rsidR="00565C5A" w:rsidRPr="00565C5A" w:rsidRDefault="00565C5A" w:rsidP="00565C5A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44,693,578.58</w:t>
            </w:r>
          </w:p>
        </w:tc>
      </w:tr>
      <w:tr w:rsidR="00565C5A" w:rsidRPr="00565C5A" w14:paraId="2A1A840E" w14:textId="77777777" w:rsidTr="00565C5A">
        <w:trPr>
          <w:trHeight w:val="105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6041023A" w14:textId="77777777" w:rsidR="00565C5A" w:rsidRPr="00565C5A" w:rsidRDefault="00565C5A" w:rsidP="00565C5A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lastRenderedPageBreak/>
              <w:t>14763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38FF4F07" w14:textId="77777777" w:rsidR="00565C5A" w:rsidRPr="00565C5A" w:rsidRDefault="00565C5A" w:rsidP="00565C5A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CONSTRUCCIÓN SOLUCION PLUVIAL Y SANITARIA CAÑADA TIRADENTES Y CONSTRUCCION BULEVAR RECREATIVO CRISTO PARK, DISTRITO NACIONAL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35877EDC" w14:textId="77777777" w:rsidR="00565C5A" w:rsidRPr="00565C5A" w:rsidRDefault="00565C5A" w:rsidP="00565C5A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25,840,215.89</w:t>
            </w:r>
          </w:p>
        </w:tc>
      </w:tr>
      <w:tr w:rsidR="00565C5A" w:rsidRPr="00565C5A" w14:paraId="05BC67DB" w14:textId="77777777" w:rsidTr="00565C5A">
        <w:trPr>
          <w:trHeight w:val="105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5648E786" w14:textId="77777777" w:rsidR="00565C5A" w:rsidRPr="00565C5A" w:rsidRDefault="00565C5A" w:rsidP="00565C5A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14764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45E6E2BC" w14:textId="77777777" w:rsidR="00565C5A" w:rsidRPr="00565C5A" w:rsidRDefault="00565C5A" w:rsidP="00565C5A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MEJORAMIENTO DE LAS INSTALACIONES FISICAS DE LA PLANTA POTABILIZADORA VALDESIA, DISTRITO NACIONAL Y PROVINCIA SANTO DOMINGO.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45952515" w14:textId="77777777" w:rsidR="00565C5A" w:rsidRPr="00565C5A" w:rsidRDefault="00565C5A" w:rsidP="00565C5A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15,207,897.29</w:t>
            </w:r>
          </w:p>
        </w:tc>
      </w:tr>
      <w:tr w:rsidR="00565C5A" w:rsidRPr="00565C5A" w14:paraId="312BA93C" w14:textId="77777777" w:rsidTr="00565C5A">
        <w:trPr>
          <w:trHeight w:val="63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27E8EC24" w14:textId="77777777" w:rsidR="00565C5A" w:rsidRPr="00565C5A" w:rsidRDefault="00565C5A" w:rsidP="00565C5A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14780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2DB7E1AB" w14:textId="77777777" w:rsidR="00565C5A" w:rsidRPr="00565C5A" w:rsidRDefault="00565C5A" w:rsidP="00565C5A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CONSTRUCCIÓN SISTEMA DE SANEAMIENTO CAÑADA MARAÑON, MUNICIPIO SANTO DOMINGO NORTE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025926A1" w14:textId="77777777" w:rsidR="00565C5A" w:rsidRPr="00565C5A" w:rsidRDefault="00565C5A" w:rsidP="00565C5A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17,022,639.60</w:t>
            </w:r>
          </w:p>
        </w:tc>
      </w:tr>
      <w:tr w:rsidR="00565C5A" w:rsidRPr="00565C5A" w14:paraId="76E36172" w14:textId="77777777" w:rsidTr="00565C5A">
        <w:trPr>
          <w:trHeight w:val="84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730825DB" w14:textId="77777777" w:rsidR="00565C5A" w:rsidRPr="00565C5A" w:rsidRDefault="00565C5A" w:rsidP="00565C5A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14796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1AA14935" w14:textId="77777777" w:rsidR="00565C5A" w:rsidRPr="00565C5A" w:rsidRDefault="00565C5A" w:rsidP="00565C5A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FORTALECIMIENTO DE LA RED DE ABASTECIMIENTO DE AGUA POTABLE PARA 16 SECTORES DEL DISTRITO NACIONAL.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38823977" w14:textId="77777777" w:rsidR="00565C5A" w:rsidRPr="00565C5A" w:rsidRDefault="00565C5A" w:rsidP="00565C5A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25,560,695.27</w:t>
            </w:r>
          </w:p>
        </w:tc>
      </w:tr>
      <w:tr w:rsidR="00565C5A" w:rsidRPr="00565C5A" w14:paraId="6EC53784" w14:textId="77777777" w:rsidTr="00565C5A">
        <w:trPr>
          <w:trHeight w:val="63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0C1E3CBE" w14:textId="77777777" w:rsidR="00565C5A" w:rsidRPr="00565C5A" w:rsidRDefault="00565C5A" w:rsidP="00565C5A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14799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7F0CEEE8" w14:textId="77777777" w:rsidR="00565C5A" w:rsidRPr="00565C5A" w:rsidRDefault="00565C5A" w:rsidP="00565C5A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CONSTRUCCIÓN SISTEMA DE SANEAMIENTO CAÑADA GIRASOLES, DISTRITO NACIONAL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2E3628BA" w14:textId="77777777" w:rsidR="00565C5A" w:rsidRPr="00565C5A" w:rsidRDefault="00565C5A" w:rsidP="00565C5A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7,775,315.21</w:t>
            </w:r>
          </w:p>
        </w:tc>
      </w:tr>
      <w:tr w:rsidR="00565C5A" w:rsidRPr="00565C5A" w14:paraId="17EDBBA6" w14:textId="77777777" w:rsidTr="00565C5A">
        <w:trPr>
          <w:trHeight w:val="84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1EEFBBE4" w14:textId="77777777" w:rsidR="00565C5A" w:rsidRPr="00565C5A" w:rsidRDefault="00565C5A" w:rsidP="00565C5A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14931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6E07D3E5" w14:textId="77777777" w:rsidR="00565C5A" w:rsidRPr="00565C5A" w:rsidRDefault="00565C5A" w:rsidP="00565C5A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 xml:space="preserve">CONSTRUCCIÓN ACUEDUCTO MULTIPLE LA CUABA MUNICIPIO PEDRO </w:t>
            </w:r>
            <w:proofErr w:type="gramStart"/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BRAND ,</w:t>
            </w:r>
            <w:proofErr w:type="gramEnd"/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 xml:space="preserve"> PROVINCIA SANTO DOMINGO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3D58EFA1" w14:textId="77777777" w:rsidR="00565C5A" w:rsidRPr="00565C5A" w:rsidRDefault="00565C5A" w:rsidP="00565C5A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66,647,248.70</w:t>
            </w:r>
          </w:p>
        </w:tc>
      </w:tr>
      <w:tr w:rsidR="00565C5A" w:rsidRPr="00565C5A" w14:paraId="6F4F3131" w14:textId="77777777" w:rsidTr="00565C5A">
        <w:trPr>
          <w:trHeight w:val="63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16447FB6" w14:textId="77777777" w:rsidR="00565C5A" w:rsidRPr="00565C5A" w:rsidRDefault="00565C5A" w:rsidP="00565C5A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14946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5CE429A1" w14:textId="77777777" w:rsidR="00565C5A" w:rsidRPr="00565C5A" w:rsidRDefault="00565C5A" w:rsidP="00565C5A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CONSTRUCCIÓN ACUEDUCTO SAN ANTONIO DE GUERRA, PROVINCIA SANTO DOMINGO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381DEE64" w14:textId="77777777" w:rsidR="00565C5A" w:rsidRPr="00565C5A" w:rsidRDefault="00565C5A" w:rsidP="00565C5A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24,635,122.36</w:t>
            </w:r>
          </w:p>
        </w:tc>
      </w:tr>
      <w:tr w:rsidR="00565C5A" w:rsidRPr="00565C5A" w14:paraId="14F4C1C0" w14:textId="77777777" w:rsidTr="00565C5A">
        <w:trPr>
          <w:trHeight w:val="84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4C1F0DDA" w14:textId="77777777" w:rsidR="00565C5A" w:rsidRPr="00565C5A" w:rsidRDefault="00565C5A" w:rsidP="00565C5A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15126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5E633125" w14:textId="77777777" w:rsidR="00565C5A" w:rsidRPr="00565C5A" w:rsidRDefault="00565C5A" w:rsidP="00565C5A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CONSTRUCCIÓN SISTEMA DE SANEAMIENTO CAÑADAS ARROYO MANZANO Y ARROYO SECO, DISTRITO NACIONAL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1E614730" w14:textId="77777777" w:rsidR="00565C5A" w:rsidRPr="00565C5A" w:rsidRDefault="00565C5A" w:rsidP="00565C5A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86,652,510.58</w:t>
            </w:r>
          </w:p>
        </w:tc>
      </w:tr>
      <w:tr w:rsidR="00565C5A" w:rsidRPr="00565C5A" w14:paraId="3AA74C8F" w14:textId="77777777" w:rsidTr="00565C5A">
        <w:trPr>
          <w:trHeight w:val="42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0CB996E7" w14:textId="77777777" w:rsidR="00565C5A" w:rsidRPr="00565C5A" w:rsidRDefault="00565C5A" w:rsidP="00565C5A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16167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46DEDF94" w14:textId="77777777" w:rsidR="00565C5A" w:rsidRPr="00565C5A" w:rsidRDefault="00565C5A" w:rsidP="00565C5A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SANEAMIENTO CAÑADA ZOOLOGICO NACIONAL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6F340B6D" w14:textId="77777777" w:rsidR="00565C5A" w:rsidRPr="00565C5A" w:rsidRDefault="00565C5A" w:rsidP="00565C5A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19,639,224.15</w:t>
            </w:r>
          </w:p>
        </w:tc>
      </w:tr>
      <w:tr w:rsidR="00565C5A" w:rsidRPr="00565C5A" w14:paraId="385ECAAD" w14:textId="77777777" w:rsidTr="00565C5A">
        <w:trPr>
          <w:trHeight w:val="84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3F30DC72" w14:textId="77777777" w:rsidR="00565C5A" w:rsidRPr="00565C5A" w:rsidRDefault="00565C5A" w:rsidP="00565C5A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16336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5085DABA" w14:textId="77777777" w:rsidR="00565C5A" w:rsidRPr="00565C5A" w:rsidRDefault="00565C5A" w:rsidP="00565C5A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CONSTRUCCIÓN SISTEMA DE SANEAMIENTO PLUVIAL Y SANITARIO CAÑADA BAJO MUNDO, PROVINCIA SANTO DOMINGO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3A24FF31" w14:textId="77777777" w:rsidR="00565C5A" w:rsidRPr="00565C5A" w:rsidRDefault="00565C5A" w:rsidP="00565C5A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13,983,808.30</w:t>
            </w:r>
          </w:p>
        </w:tc>
      </w:tr>
      <w:tr w:rsidR="00565C5A" w:rsidRPr="00565C5A" w14:paraId="223E0084" w14:textId="77777777" w:rsidTr="00565C5A">
        <w:trPr>
          <w:trHeight w:val="84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27921A74" w14:textId="77777777" w:rsidR="00565C5A" w:rsidRPr="00565C5A" w:rsidRDefault="00565C5A" w:rsidP="00565C5A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6810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2B0D922F" w14:textId="77777777" w:rsidR="00565C5A" w:rsidRPr="00565C5A" w:rsidRDefault="00565C5A" w:rsidP="00565C5A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AMPLIACIÓN ACUEDUCTO ORIENTAL, BARRERA DE SALINIDAD Y TRASVASE AL MUNICIPIO SANTO DOMINGO NORTE, PROVINCIA SANTO DOMINGO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42ADD7D6" w14:textId="77777777" w:rsidR="00565C5A" w:rsidRPr="00565C5A" w:rsidRDefault="00565C5A" w:rsidP="00565C5A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color w:val="FFFFFF"/>
                <w:kern w:val="0"/>
                <w:sz w:val="16"/>
                <w:szCs w:val="16"/>
                <w:lang w:val="es-MX" w:eastAsia="es-MX"/>
              </w:rPr>
              <w:t>36,166,133.41</w:t>
            </w:r>
          </w:p>
        </w:tc>
      </w:tr>
      <w:tr w:rsidR="00565C5A" w:rsidRPr="00565C5A" w14:paraId="05D97C88" w14:textId="77777777" w:rsidTr="00565C5A"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3FA67E47" w14:textId="77777777" w:rsidR="00565C5A" w:rsidRPr="00565C5A" w:rsidRDefault="00565C5A" w:rsidP="00565C5A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16"/>
                <w:szCs w:val="16"/>
                <w:lang w:val="es-MX" w:eastAsia="es-MX"/>
              </w:rPr>
              <w:t>Total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714737B7" w14:textId="77777777" w:rsidR="00565C5A" w:rsidRPr="00565C5A" w:rsidRDefault="00565C5A" w:rsidP="00565C5A">
            <w:pPr>
              <w:spacing w:before="0"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54316416" w14:textId="77777777" w:rsidR="00565C5A" w:rsidRPr="00565C5A" w:rsidRDefault="00565C5A" w:rsidP="00565C5A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16"/>
                <w:szCs w:val="16"/>
                <w:lang w:val="es-MX" w:eastAsia="es-MX"/>
              </w:rPr>
            </w:pPr>
            <w:r w:rsidRPr="00565C5A">
              <w:rPr>
                <w:rFonts w:ascii="Verdana" w:eastAsia="Times New Roman" w:hAnsi="Verdana" w:cs="Calibri"/>
                <w:b/>
                <w:bCs/>
                <w:color w:val="FFFFFF"/>
                <w:kern w:val="0"/>
                <w:sz w:val="16"/>
                <w:szCs w:val="16"/>
                <w:lang w:val="es-MX" w:eastAsia="es-MX"/>
              </w:rPr>
              <w:t>1,489,566,303.58</w:t>
            </w:r>
          </w:p>
        </w:tc>
      </w:tr>
    </w:tbl>
    <w:p w14:paraId="6837C8E5" w14:textId="77777777" w:rsidR="00F976C8" w:rsidRDefault="00F976C8" w:rsidP="00C72A69">
      <w:pPr>
        <w:jc w:val="both"/>
        <w:rPr>
          <w:rFonts w:ascii="Bookman Old Style" w:hAnsi="Bookman Old Style"/>
          <w:color w:val="auto"/>
          <w:sz w:val="24"/>
        </w:rPr>
      </w:pPr>
    </w:p>
    <w:p w14:paraId="71F85A67" w14:textId="3A02AC90" w:rsidR="002326B3" w:rsidRDefault="002326B3" w:rsidP="00C72A69">
      <w:pPr>
        <w:jc w:val="both"/>
        <w:rPr>
          <w:rFonts w:ascii="Bookman Old Style" w:hAnsi="Bookman Old Style"/>
          <w:color w:val="auto"/>
          <w:sz w:val="24"/>
        </w:rPr>
      </w:pPr>
    </w:p>
    <w:p w14:paraId="6FC840C2" w14:textId="481AE0D6" w:rsidR="00CE746C" w:rsidRDefault="00CE746C" w:rsidP="00CE746C">
      <w:pPr>
        <w:rPr>
          <w:lang w:val="es-DO" w:eastAsia="es-DO"/>
        </w:rPr>
      </w:pPr>
    </w:p>
    <w:p w14:paraId="3BB9DDE7" w14:textId="77777777" w:rsidR="00A03160" w:rsidRPr="00CE746C" w:rsidRDefault="00A03160" w:rsidP="00CE746C">
      <w:pPr>
        <w:rPr>
          <w:lang w:val="es-DO" w:eastAsia="es-DO"/>
        </w:rPr>
      </w:pPr>
    </w:p>
    <w:p w14:paraId="78DD0423" w14:textId="4B96883F" w:rsidR="00787901" w:rsidRDefault="00565C5A" w:rsidP="00BF0883">
      <w:pPr>
        <w:rPr>
          <w:noProof/>
          <w:lang w:val="es-DO" w:eastAsia="es-DO"/>
        </w:rPr>
      </w:pPr>
      <w:r>
        <w:rPr>
          <w:noProof/>
        </w:rPr>
        <w:lastRenderedPageBreak/>
        <w:drawing>
          <wp:inline distT="0" distB="0" distL="0" distR="0" wp14:anchorId="5484748C" wp14:editId="41FBD780">
            <wp:extent cx="5400040" cy="4143375"/>
            <wp:effectExtent l="0" t="0" r="10160" b="9525"/>
            <wp:docPr id="211300971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68C3938-CA48-8A8E-D244-0968EE71FA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E3FB38A" w14:textId="60C1AE76" w:rsidR="00B460F5" w:rsidRDefault="00787901" w:rsidP="00BF0883">
      <w:pPr>
        <w:rPr>
          <w:noProof/>
          <w:lang w:val="es-DO" w:eastAsia="es-DO"/>
        </w:rPr>
      </w:pPr>
      <w:r>
        <w:rPr>
          <w:noProof/>
        </w:rPr>
        <w:drawing>
          <wp:inline distT="0" distB="0" distL="0" distR="0" wp14:anchorId="014EC887" wp14:editId="3F6A9001">
            <wp:extent cx="5400040" cy="3638550"/>
            <wp:effectExtent l="0" t="0" r="10160" b="0"/>
            <wp:docPr id="133790865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2DABAC5-A64B-17D5-D34F-9CD479B79F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08D68C9" w14:textId="0E5C9D8C" w:rsidR="0074421F" w:rsidRDefault="0074421F" w:rsidP="00BF0883">
      <w:pPr>
        <w:rPr>
          <w:noProof/>
          <w:lang w:val="es-DO" w:eastAsia="es-DO"/>
        </w:rPr>
      </w:pPr>
    </w:p>
    <w:p w14:paraId="56B494BC" w14:textId="1214A9B4" w:rsidR="000F062B" w:rsidRDefault="000F062B" w:rsidP="00BF0883">
      <w:pPr>
        <w:rPr>
          <w:noProof/>
          <w:lang w:val="es-DO" w:eastAsia="es-DO"/>
        </w:rPr>
      </w:pPr>
    </w:p>
    <w:p w14:paraId="2C4A5057" w14:textId="7E850D71" w:rsidR="00453B7A" w:rsidRPr="00D150EF" w:rsidRDefault="0017459A" w:rsidP="00D150EF">
      <w:pPr>
        <w:jc w:val="center"/>
        <w:rPr>
          <w:noProof/>
          <w:lang w:val="es-DO" w:eastAsia="es-DO"/>
        </w:rPr>
      </w:pPr>
      <w:r>
        <w:rPr>
          <w:noProof/>
        </w:rPr>
        <w:lastRenderedPageBreak/>
        <w:drawing>
          <wp:inline distT="0" distB="0" distL="0" distR="0" wp14:anchorId="591061AE" wp14:editId="399D25F0">
            <wp:extent cx="5743575" cy="2447925"/>
            <wp:effectExtent l="0" t="0" r="9525" b="9525"/>
            <wp:docPr id="123902084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C72A69" w:rsidRPr="00CE746C">
        <w:rPr>
          <w:i/>
          <w:iCs/>
          <w:color w:val="44546A" w:themeColor="text2"/>
          <w:sz w:val="18"/>
          <w:szCs w:val="18"/>
        </w:rPr>
        <w:t xml:space="preserve">Ilustración </w:t>
      </w:r>
      <w:r w:rsidR="00C72A69" w:rsidRPr="00CE746C">
        <w:rPr>
          <w:i/>
          <w:iCs/>
          <w:color w:val="44546A" w:themeColor="text2"/>
          <w:sz w:val="18"/>
          <w:szCs w:val="18"/>
        </w:rPr>
        <w:fldChar w:fldCharType="begin"/>
      </w:r>
      <w:r w:rsidR="00C72A69" w:rsidRPr="00CE746C">
        <w:rPr>
          <w:i/>
          <w:iCs/>
          <w:color w:val="44546A" w:themeColor="text2"/>
          <w:sz w:val="18"/>
          <w:szCs w:val="18"/>
        </w:rPr>
        <w:instrText xml:space="preserve"> SEQ Ilustración \* ARABIC </w:instrText>
      </w:r>
      <w:r w:rsidR="00C72A69" w:rsidRPr="00CE746C">
        <w:rPr>
          <w:i/>
          <w:iCs/>
          <w:color w:val="44546A" w:themeColor="text2"/>
          <w:sz w:val="18"/>
          <w:szCs w:val="18"/>
        </w:rPr>
        <w:fldChar w:fldCharType="separate"/>
      </w:r>
      <w:r>
        <w:rPr>
          <w:i/>
          <w:iCs/>
          <w:noProof/>
          <w:color w:val="44546A" w:themeColor="text2"/>
          <w:sz w:val="18"/>
          <w:szCs w:val="18"/>
        </w:rPr>
        <w:t>1</w:t>
      </w:r>
      <w:r w:rsidR="00C72A69" w:rsidRPr="00CE746C">
        <w:rPr>
          <w:i/>
          <w:iCs/>
          <w:color w:val="44546A" w:themeColor="text2"/>
          <w:sz w:val="18"/>
          <w:szCs w:val="18"/>
        </w:rPr>
        <w:fldChar w:fldCharType="end"/>
      </w:r>
      <w:r w:rsidR="00C93167" w:rsidRPr="00CE746C">
        <w:rPr>
          <w:i/>
          <w:iCs/>
          <w:color w:val="44546A" w:themeColor="text2"/>
          <w:sz w:val="18"/>
          <w:szCs w:val="18"/>
        </w:rPr>
        <w:t>:</w:t>
      </w:r>
      <w:r w:rsidR="00277462" w:rsidRPr="00CE746C">
        <w:rPr>
          <w:i/>
          <w:iCs/>
          <w:color w:val="44546A" w:themeColor="text2"/>
          <w:sz w:val="18"/>
          <w:szCs w:val="18"/>
        </w:rPr>
        <w:t xml:space="preserve"> Resumen de la Inversión en 202</w:t>
      </w:r>
      <w:r w:rsidR="002326B3">
        <w:rPr>
          <w:i/>
          <w:iCs/>
          <w:color w:val="44546A" w:themeColor="text2"/>
          <w:sz w:val="18"/>
          <w:szCs w:val="18"/>
        </w:rPr>
        <w:t>4</w:t>
      </w:r>
    </w:p>
    <w:p w14:paraId="68091236" w14:textId="55ACEADC" w:rsidR="0095409E" w:rsidRPr="007F4C90" w:rsidRDefault="00565C5A" w:rsidP="007F4C90">
      <w:pPr>
        <w:spacing w:before="0"/>
        <w:jc w:val="center"/>
        <w:rPr>
          <w:noProof/>
        </w:rPr>
      </w:pPr>
      <w:r>
        <w:rPr>
          <w:noProof/>
        </w:rPr>
        <w:drawing>
          <wp:inline distT="0" distB="0" distL="0" distR="0" wp14:anchorId="53BB1A37" wp14:editId="6BDF037C">
            <wp:extent cx="5724525" cy="3517265"/>
            <wp:effectExtent l="0" t="0" r="9525" b="6985"/>
            <wp:docPr id="132418183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8267E0">
        <w:rPr>
          <w:i/>
          <w:iCs/>
          <w:color w:val="44546A" w:themeColor="text2"/>
          <w:sz w:val="18"/>
          <w:szCs w:val="18"/>
        </w:rPr>
        <w:t xml:space="preserve">Ilustración </w:t>
      </w:r>
      <w:r w:rsidR="00C72A69" w:rsidRPr="00C93167">
        <w:rPr>
          <w:i/>
          <w:iCs/>
          <w:color w:val="44546A" w:themeColor="text2"/>
          <w:sz w:val="18"/>
          <w:szCs w:val="18"/>
        </w:rPr>
        <w:fldChar w:fldCharType="begin"/>
      </w:r>
      <w:r w:rsidR="00C72A69" w:rsidRPr="00C93167">
        <w:rPr>
          <w:i/>
          <w:iCs/>
          <w:color w:val="44546A" w:themeColor="text2"/>
          <w:sz w:val="18"/>
          <w:szCs w:val="18"/>
        </w:rPr>
        <w:instrText xml:space="preserve"> SEQ Ilustración \* ARABIC </w:instrText>
      </w:r>
      <w:r w:rsidR="00C72A69" w:rsidRPr="00C93167">
        <w:rPr>
          <w:i/>
          <w:iCs/>
          <w:color w:val="44546A" w:themeColor="text2"/>
          <w:sz w:val="18"/>
          <w:szCs w:val="18"/>
        </w:rPr>
        <w:fldChar w:fldCharType="separate"/>
      </w:r>
      <w:r w:rsidR="0017459A">
        <w:rPr>
          <w:i/>
          <w:iCs/>
          <w:noProof/>
          <w:color w:val="44546A" w:themeColor="text2"/>
          <w:sz w:val="18"/>
          <w:szCs w:val="18"/>
        </w:rPr>
        <w:t>2</w:t>
      </w:r>
      <w:r w:rsidR="00C72A69" w:rsidRPr="00C93167">
        <w:rPr>
          <w:i/>
          <w:iCs/>
          <w:color w:val="44546A" w:themeColor="text2"/>
          <w:sz w:val="18"/>
          <w:szCs w:val="18"/>
        </w:rPr>
        <w:fldChar w:fldCharType="end"/>
      </w:r>
      <w:r w:rsidR="00C72A69" w:rsidRPr="00C93167">
        <w:rPr>
          <w:i/>
          <w:iCs/>
          <w:color w:val="44546A" w:themeColor="text2"/>
          <w:sz w:val="18"/>
          <w:szCs w:val="18"/>
        </w:rPr>
        <w:t>: Evolu</w:t>
      </w:r>
      <w:r w:rsidR="00C93167" w:rsidRPr="00C93167">
        <w:rPr>
          <w:i/>
          <w:iCs/>
          <w:color w:val="44546A" w:themeColor="text2"/>
          <w:sz w:val="18"/>
          <w:szCs w:val="18"/>
        </w:rPr>
        <w:t xml:space="preserve">ción de la Inversión </w:t>
      </w:r>
      <w:r w:rsidR="00277462">
        <w:rPr>
          <w:i/>
          <w:iCs/>
          <w:color w:val="44546A" w:themeColor="text2"/>
          <w:sz w:val="18"/>
          <w:szCs w:val="18"/>
        </w:rPr>
        <w:t>Durante 202</w:t>
      </w:r>
      <w:r w:rsidR="002326B3">
        <w:rPr>
          <w:i/>
          <w:iCs/>
          <w:color w:val="44546A" w:themeColor="text2"/>
          <w:sz w:val="18"/>
          <w:szCs w:val="18"/>
        </w:rPr>
        <w:t>4</w:t>
      </w:r>
    </w:p>
    <w:p w14:paraId="69538465" w14:textId="77777777" w:rsidR="00165229" w:rsidRDefault="00165229" w:rsidP="00277462">
      <w:pPr>
        <w:jc w:val="center"/>
        <w:rPr>
          <w:i/>
          <w:iCs/>
          <w:color w:val="44546A" w:themeColor="text2"/>
          <w:sz w:val="18"/>
          <w:szCs w:val="18"/>
        </w:rPr>
      </w:pPr>
    </w:p>
    <w:p w14:paraId="1A1282F7" w14:textId="4A9D4AE8" w:rsidR="0090009B" w:rsidRDefault="0090009B" w:rsidP="00277462">
      <w:r>
        <w:t xml:space="preserve">          </w:t>
      </w:r>
      <w:r w:rsidR="005114D0">
        <w:t>Elaborado</w:t>
      </w:r>
      <w:r>
        <w:t xml:space="preserve"> por:                                                                                                       </w:t>
      </w:r>
      <w:r w:rsidR="0072522F">
        <w:t>Aprobado</w:t>
      </w:r>
      <w:r>
        <w:t xml:space="preserve"> por:</w:t>
      </w:r>
    </w:p>
    <w:p w14:paraId="01E1822C" w14:textId="77777777" w:rsidR="0072522F" w:rsidRDefault="0072522F" w:rsidP="0090009B">
      <w:pPr>
        <w:spacing w:after="0"/>
      </w:pPr>
    </w:p>
    <w:p w14:paraId="5336F0D5" w14:textId="405E6F52" w:rsidR="0090009B" w:rsidRDefault="0090009B" w:rsidP="0090009B">
      <w:pPr>
        <w:spacing w:after="0"/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B9B1C4" wp14:editId="2BE9C74D">
                <wp:simplePos x="0" y="0"/>
                <wp:positionH relativeFrom="column">
                  <wp:posOffset>3693160</wp:posOffset>
                </wp:positionH>
                <wp:positionV relativeFrom="paragraph">
                  <wp:posOffset>144145</wp:posOffset>
                </wp:positionV>
                <wp:extent cx="1296062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6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340C1" id="Conector recto 8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8pt,11.35pt" to="392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98CB9E" wp14:editId="2FC8584C">
                <wp:simplePos x="0" y="0"/>
                <wp:positionH relativeFrom="column">
                  <wp:posOffset>-6461</wp:posOffset>
                </wp:positionH>
                <wp:positionV relativeFrom="paragraph">
                  <wp:posOffset>108585</wp:posOffset>
                </wp:positionV>
                <wp:extent cx="1296062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6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78D3A" id="Conector recto 9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8.55pt" to="101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" strokecolor="windowText" strokeweight=".5pt">
                <v:stroke joinstyle="miter"/>
              </v:line>
            </w:pict>
          </mc:Fallback>
        </mc:AlternateContent>
      </w:r>
      <w:r>
        <w:tab/>
      </w:r>
    </w:p>
    <w:p w14:paraId="6C057053" w14:textId="0750C33B" w:rsidR="0072522F" w:rsidRPr="000C2F5C" w:rsidRDefault="0072522F" w:rsidP="0072522F">
      <w:pPr>
        <w:spacing w:before="0" w:after="0"/>
        <w:rPr>
          <w:rFonts w:ascii="Bookman Old Style" w:hAnsi="Bookman Old Style"/>
          <w:b/>
          <w:color w:val="auto"/>
          <w:sz w:val="18"/>
        </w:rPr>
      </w:pPr>
      <w:r>
        <w:rPr>
          <w:b/>
          <w:color w:val="000000" w:themeColor="text1"/>
        </w:rPr>
        <w:t xml:space="preserve">  </w:t>
      </w:r>
      <w:r w:rsidRPr="0072522F">
        <w:rPr>
          <w:b/>
          <w:color w:val="000000" w:themeColor="text1"/>
        </w:rPr>
        <w:t>Ing. Sergio Polanco</w:t>
      </w:r>
      <w:r w:rsidR="00BB77FF">
        <w:rPr>
          <w:b/>
          <w:color w:val="000000" w:themeColor="text1"/>
        </w:rPr>
        <w:t xml:space="preserve"> </w:t>
      </w:r>
      <w:r w:rsidR="0090009B">
        <w:rPr>
          <w:b/>
          <w:color w:val="000000" w:themeColor="text1"/>
        </w:rPr>
        <w:t xml:space="preserve">                                                                                           </w:t>
      </w:r>
      <w:r w:rsidRPr="000C2F5C">
        <w:rPr>
          <w:rFonts w:ascii="Bookman Old Style" w:hAnsi="Bookman Old Style"/>
          <w:b/>
          <w:color w:val="auto"/>
          <w:sz w:val="18"/>
        </w:rPr>
        <w:t>Lic. Katihusca Ledesma</w:t>
      </w:r>
    </w:p>
    <w:p w14:paraId="7CC5621D" w14:textId="762A0E65" w:rsidR="0072522F" w:rsidRPr="009C45DC" w:rsidRDefault="0090009B" w:rsidP="0072522F">
      <w:pPr>
        <w:spacing w:before="0" w:after="0"/>
        <w:jc w:val="center"/>
        <w:rPr>
          <w:sz w:val="14"/>
        </w:rPr>
      </w:pPr>
      <w:r>
        <w:rPr>
          <w:color w:val="000000" w:themeColor="text1"/>
        </w:rPr>
        <w:t xml:space="preserve"> </w:t>
      </w:r>
      <w:r w:rsidR="00A92A31">
        <w:rPr>
          <w:color w:val="000000" w:themeColor="text1"/>
        </w:rPr>
        <w:t xml:space="preserve"> </w:t>
      </w:r>
      <w:r w:rsidR="0072522F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</w:t>
      </w:r>
      <w:r w:rsidR="0072522F" w:rsidRPr="0072522F">
        <w:rPr>
          <w:color w:val="000000" w:themeColor="text1"/>
        </w:rPr>
        <w:t>Enc. Depto. PPP</w:t>
      </w:r>
      <w:r>
        <w:rPr>
          <w:color w:val="000000" w:themeColor="text1"/>
        </w:rPr>
        <w:t xml:space="preserve">                                                                                    </w:t>
      </w:r>
      <w:r w:rsidR="0072522F" w:rsidRPr="00C64010">
        <w:rPr>
          <w:rFonts w:ascii="Bookman Old Style" w:hAnsi="Bookman Old Style"/>
          <w:color w:val="auto"/>
          <w:sz w:val="18"/>
        </w:rPr>
        <w:t>Directora Planificación y Desarrollo</w:t>
      </w:r>
    </w:p>
    <w:p w14:paraId="1436FF09" w14:textId="3B51F6DC" w:rsidR="0090009B" w:rsidRPr="008756B0" w:rsidRDefault="0090009B" w:rsidP="0090009B">
      <w:pPr>
        <w:tabs>
          <w:tab w:val="center" w:pos="4252"/>
          <w:tab w:val="left" w:pos="5397"/>
        </w:tabs>
        <w:spacing w:before="0" w:after="0"/>
        <w:rPr>
          <w:b/>
          <w:color w:val="000000" w:themeColor="text1"/>
        </w:rPr>
      </w:pPr>
    </w:p>
    <w:sectPr w:rsidR="0090009B" w:rsidRPr="008756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076F3" w14:textId="77777777" w:rsidR="007D44CF" w:rsidRDefault="007D44CF">
      <w:pPr>
        <w:spacing w:before="0" w:after="0" w:line="240" w:lineRule="auto"/>
      </w:pPr>
      <w:r>
        <w:separator/>
      </w:r>
    </w:p>
  </w:endnote>
  <w:endnote w:type="continuationSeparator" w:id="0">
    <w:p w14:paraId="59CB04C0" w14:textId="77777777" w:rsidR="007D44CF" w:rsidRDefault="007D44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3229331"/>
      <w:docPartObj>
        <w:docPartGallery w:val="Page Numbers (Bottom of Page)"/>
        <w:docPartUnique/>
      </w:docPartObj>
    </w:sdtPr>
    <w:sdtContent>
      <w:p w14:paraId="20F58A53" w14:textId="7421F934" w:rsidR="00D929F1" w:rsidRDefault="00C72A69">
        <w:pPr>
          <w:pStyle w:val="Piedepgina"/>
          <w:jc w:val="right"/>
        </w:pPr>
        <w: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F0883">
          <w:rPr>
            <w:noProof/>
          </w:rPr>
          <w:t>2</w:t>
        </w:r>
        <w:r>
          <w:fldChar w:fldCharType="end"/>
        </w:r>
      </w:p>
    </w:sdtContent>
  </w:sdt>
  <w:p w14:paraId="06C8634E" w14:textId="77777777" w:rsidR="00D929F1" w:rsidRDefault="00D929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471B8" w14:textId="77777777" w:rsidR="007D44CF" w:rsidRDefault="007D44CF">
      <w:pPr>
        <w:spacing w:before="0" w:after="0" w:line="240" w:lineRule="auto"/>
      </w:pPr>
      <w:r>
        <w:separator/>
      </w:r>
    </w:p>
  </w:footnote>
  <w:footnote w:type="continuationSeparator" w:id="0">
    <w:p w14:paraId="22FFAB5B" w14:textId="77777777" w:rsidR="007D44CF" w:rsidRDefault="007D44C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42"/>
    <w:rsid w:val="00017748"/>
    <w:rsid w:val="000265F3"/>
    <w:rsid w:val="00035957"/>
    <w:rsid w:val="00043EEF"/>
    <w:rsid w:val="0005760F"/>
    <w:rsid w:val="000917DF"/>
    <w:rsid w:val="000A292D"/>
    <w:rsid w:val="000C7189"/>
    <w:rsid w:val="000D5BF5"/>
    <w:rsid w:val="000E02F1"/>
    <w:rsid w:val="000E7BE1"/>
    <w:rsid w:val="000F062B"/>
    <w:rsid w:val="000F317A"/>
    <w:rsid w:val="000F555A"/>
    <w:rsid w:val="00102594"/>
    <w:rsid w:val="00126495"/>
    <w:rsid w:val="001372E0"/>
    <w:rsid w:val="00142445"/>
    <w:rsid w:val="00165229"/>
    <w:rsid w:val="0017459A"/>
    <w:rsid w:val="00192620"/>
    <w:rsid w:val="001B0BC4"/>
    <w:rsid w:val="001B4A52"/>
    <w:rsid w:val="001D15EF"/>
    <w:rsid w:val="001D242A"/>
    <w:rsid w:val="001D3D18"/>
    <w:rsid w:val="001E73FD"/>
    <w:rsid w:val="001F7189"/>
    <w:rsid w:val="00205D7F"/>
    <w:rsid w:val="00214C41"/>
    <w:rsid w:val="0021738B"/>
    <w:rsid w:val="00224CA8"/>
    <w:rsid w:val="00226F48"/>
    <w:rsid w:val="00231C91"/>
    <w:rsid w:val="002326B3"/>
    <w:rsid w:val="0023792B"/>
    <w:rsid w:val="002441A2"/>
    <w:rsid w:val="00251900"/>
    <w:rsid w:val="0025398F"/>
    <w:rsid w:val="00262477"/>
    <w:rsid w:val="00277462"/>
    <w:rsid w:val="00280219"/>
    <w:rsid w:val="00295948"/>
    <w:rsid w:val="002A0C99"/>
    <w:rsid w:val="002A69B4"/>
    <w:rsid w:val="002C2B77"/>
    <w:rsid w:val="002C7B4B"/>
    <w:rsid w:val="002E1C36"/>
    <w:rsid w:val="002E665C"/>
    <w:rsid w:val="002F7B42"/>
    <w:rsid w:val="00301F02"/>
    <w:rsid w:val="00347988"/>
    <w:rsid w:val="00361961"/>
    <w:rsid w:val="003634F7"/>
    <w:rsid w:val="003653E1"/>
    <w:rsid w:val="00373989"/>
    <w:rsid w:val="003A55A0"/>
    <w:rsid w:val="003B30FE"/>
    <w:rsid w:val="003C38CE"/>
    <w:rsid w:val="003C7C63"/>
    <w:rsid w:val="003E6293"/>
    <w:rsid w:val="003F69DC"/>
    <w:rsid w:val="00406575"/>
    <w:rsid w:val="004138D0"/>
    <w:rsid w:val="004534AE"/>
    <w:rsid w:val="00453B7A"/>
    <w:rsid w:val="004568D5"/>
    <w:rsid w:val="0045749D"/>
    <w:rsid w:val="004620F6"/>
    <w:rsid w:val="004663E7"/>
    <w:rsid w:val="0047149A"/>
    <w:rsid w:val="00483259"/>
    <w:rsid w:val="00496F30"/>
    <w:rsid w:val="004A125D"/>
    <w:rsid w:val="004A2BB9"/>
    <w:rsid w:val="004B329B"/>
    <w:rsid w:val="004C0B67"/>
    <w:rsid w:val="004C33EB"/>
    <w:rsid w:val="004E51E5"/>
    <w:rsid w:val="005114D0"/>
    <w:rsid w:val="00517F96"/>
    <w:rsid w:val="00565C5A"/>
    <w:rsid w:val="005A3505"/>
    <w:rsid w:val="005B3E6B"/>
    <w:rsid w:val="005B76C3"/>
    <w:rsid w:val="005C4084"/>
    <w:rsid w:val="005E1F90"/>
    <w:rsid w:val="005E4C86"/>
    <w:rsid w:val="005E7A5A"/>
    <w:rsid w:val="005E7D85"/>
    <w:rsid w:val="005F24FE"/>
    <w:rsid w:val="005F4619"/>
    <w:rsid w:val="00616065"/>
    <w:rsid w:val="00626CB6"/>
    <w:rsid w:val="00631930"/>
    <w:rsid w:val="00635783"/>
    <w:rsid w:val="00641E96"/>
    <w:rsid w:val="00645DF6"/>
    <w:rsid w:val="00653A82"/>
    <w:rsid w:val="006B52FD"/>
    <w:rsid w:val="006C174A"/>
    <w:rsid w:val="006C505A"/>
    <w:rsid w:val="006D077D"/>
    <w:rsid w:val="006E72B3"/>
    <w:rsid w:val="006F1E0E"/>
    <w:rsid w:val="006F3251"/>
    <w:rsid w:val="006F47C7"/>
    <w:rsid w:val="006F7215"/>
    <w:rsid w:val="00705089"/>
    <w:rsid w:val="00707C76"/>
    <w:rsid w:val="00722E2B"/>
    <w:rsid w:val="00724933"/>
    <w:rsid w:val="0072494F"/>
    <w:rsid w:val="0072522F"/>
    <w:rsid w:val="00734F66"/>
    <w:rsid w:val="0074421F"/>
    <w:rsid w:val="00752CCB"/>
    <w:rsid w:val="007670A5"/>
    <w:rsid w:val="00770FD1"/>
    <w:rsid w:val="00787901"/>
    <w:rsid w:val="00790396"/>
    <w:rsid w:val="007A24A6"/>
    <w:rsid w:val="007D0274"/>
    <w:rsid w:val="007D11BC"/>
    <w:rsid w:val="007D44CF"/>
    <w:rsid w:val="007F4C90"/>
    <w:rsid w:val="00803B15"/>
    <w:rsid w:val="00811CBE"/>
    <w:rsid w:val="00814A44"/>
    <w:rsid w:val="008267E0"/>
    <w:rsid w:val="00835B9F"/>
    <w:rsid w:val="00860086"/>
    <w:rsid w:val="0087573B"/>
    <w:rsid w:val="00887801"/>
    <w:rsid w:val="008C0253"/>
    <w:rsid w:val="008C2CB7"/>
    <w:rsid w:val="008E78C7"/>
    <w:rsid w:val="008E7E24"/>
    <w:rsid w:val="008F297B"/>
    <w:rsid w:val="0090009B"/>
    <w:rsid w:val="009029DF"/>
    <w:rsid w:val="00903018"/>
    <w:rsid w:val="00921B26"/>
    <w:rsid w:val="00921F4A"/>
    <w:rsid w:val="00936879"/>
    <w:rsid w:val="00936E70"/>
    <w:rsid w:val="00940F70"/>
    <w:rsid w:val="00947C3A"/>
    <w:rsid w:val="0095409E"/>
    <w:rsid w:val="00955D14"/>
    <w:rsid w:val="00960224"/>
    <w:rsid w:val="00985E68"/>
    <w:rsid w:val="0099150F"/>
    <w:rsid w:val="009A06B3"/>
    <w:rsid w:val="009A0FF6"/>
    <w:rsid w:val="009A7B79"/>
    <w:rsid w:val="009B0029"/>
    <w:rsid w:val="009B1182"/>
    <w:rsid w:val="009C0749"/>
    <w:rsid w:val="009C45DC"/>
    <w:rsid w:val="009D51AF"/>
    <w:rsid w:val="009D589E"/>
    <w:rsid w:val="00A03160"/>
    <w:rsid w:val="00A06CFF"/>
    <w:rsid w:val="00A21D3B"/>
    <w:rsid w:val="00A251C3"/>
    <w:rsid w:val="00A45539"/>
    <w:rsid w:val="00A471C5"/>
    <w:rsid w:val="00A5655B"/>
    <w:rsid w:val="00A627F4"/>
    <w:rsid w:val="00A66A76"/>
    <w:rsid w:val="00A705A9"/>
    <w:rsid w:val="00A755A1"/>
    <w:rsid w:val="00A759D9"/>
    <w:rsid w:val="00A92A31"/>
    <w:rsid w:val="00AB4FBE"/>
    <w:rsid w:val="00AB7386"/>
    <w:rsid w:val="00AC5806"/>
    <w:rsid w:val="00AE1BFD"/>
    <w:rsid w:val="00B07E56"/>
    <w:rsid w:val="00B12C23"/>
    <w:rsid w:val="00B24D36"/>
    <w:rsid w:val="00B41936"/>
    <w:rsid w:val="00B460F5"/>
    <w:rsid w:val="00B65EC4"/>
    <w:rsid w:val="00B74118"/>
    <w:rsid w:val="00B75C37"/>
    <w:rsid w:val="00BA72C1"/>
    <w:rsid w:val="00BB77FF"/>
    <w:rsid w:val="00BC1345"/>
    <w:rsid w:val="00BD371B"/>
    <w:rsid w:val="00BE6E4D"/>
    <w:rsid w:val="00BF0883"/>
    <w:rsid w:val="00BF1C64"/>
    <w:rsid w:val="00C004F6"/>
    <w:rsid w:val="00C02B52"/>
    <w:rsid w:val="00C13BD9"/>
    <w:rsid w:val="00C2339F"/>
    <w:rsid w:val="00C44C79"/>
    <w:rsid w:val="00C6678A"/>
    <w:rsid w:val="00C72A69"/>
    <w:rsid w:val="00C736F4"/>
    <w:rsid w:val="00C81D17"/>
    <w:rsid w:val="00C8225A"/>
    <w:rsid w:val="00C93167"/>
    <w:rsid w:val="00C947AF"/>
    <w:rsid w:val="00CA5D2E"/>
    <w:rsid w:val="00CB2D71"/>
    <w:rsid w:val="00CC0989"/>
    <w:rsid w:val="00CE746C"/>
    <w:rsid w:val="00D0671B"/>
    <w:rsid w:val="00D150EF"/>
    <w:rsid w:val="00D3098C"/>
    <w:rsid w:val="00D316B7"/>
    <w:rsid w:val="00D6495C"/>
    <w:rsid w:val="00D7098C"/>
    <w:rsid w:val="00D75EAE"/>
    <w:rsid w:val="00D8750F"/>
    <w:rsid w:val="00D90B92"/>
    <w:rsid w:val="00D91D33"/>
    <w:rsid w:val="00D929F1"/>
    <w:rsid w:val="00DA79CC"/>
    <w:rsid w:val="00DD740C"/>
    <w:rsid w:val="00E019AD"/>
    <w:rsid w:val="00E10298"/>
    <w:rsid w:val="00E132DD"/>
    <w:rsid w:val="00E42F3F"/>
    <w:rsid w:val="00E50678"/>
    <w:rsid w:val="00E56269"/>
    <w:rsid w:val="00E87BE0"/>
    <w:rsid w:val="00EE01D9"/>
    <w:rsid w:val="00EE4DC6"/>
    <w:rsid w:val="00EF22F6"/>
    <w:rsid w:val="00F53E14"/>
    <w:rsid w:val="00F76326"/>
    <w:rsid w:val="00F95B20"/>
    <w:rsid w:val="00F976C8"/>
    <w:rsid w:val="00FA14F5"/>
    <w:rsid w:val="00FD03E0"/>
    <w:rsid w:val="00FD4EAB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AE950"/>
  <w15:docId w15:val="{D5635EF8-A31D-480B-8149-9379271B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A69"/>
    <w:pPr>
      <w:spacing w:before="40" w:line="288" w:lineRule="auto"/>
    </w:pPr>
    <w:rPr>
      <w:color w:val="595959" w:themeColor="text1" w:themeTint="A6"/>
      <w:kern w:val="20"/>
      <w:sz w:val="20"/>
      <w:szCs w:val="20"/>
      <w:lang w:val="es-ES" w:eastAsia="ja-JP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40F70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9"/>
    <w:unhideWhenUsed/>
    <w:qFormat/>
    <w:rsid w:val="00C72A69"/>
    <w:pPr>
      <w:numPr>
        <w:ilvl w:val="1"/>
      </w:numPr>
      <w:ind w:left="432" w:right="1080"/>
    </w:pPr>
    <w:rPr>
      <w:rFonts w:asciiTheme="majorHAnsi" w:eastAsiaTheme="majorEastAsia" w:hAnsiTheme="majorHAnsi" w:cstheme="majorBidi"/>
      <w:caps/>
      <w:color w:val="4472C4" w:themeColor="accent1"/>
      <w:sz w:val="56"/>
    </w:rPr>
  </w:style>
  <w:style w:type="character" w:customStyle="1" w:styleId="SubttuloCar">
    <w:name w:val="Subtítulo Car"/>
    <w:basedOn w:val="Fuentedeprrafopredeter"/>
    <w:link w:val="Subttulo"/>
    <w:uiPriority w:val="19"/>
    <w:rsid w:val="00C72A69"/>
    <w:rPr>
      <w:rFonts w:asciiTheme="majorHAnsi" w:eastAsiaTheme="majorEastAsia" w:hAnsiTheme="majorHAnsi" w:cstheme="majorBidi"/>
      <w:caps/>
      <w:color w:val="4472C4" w:themeColor="accent1"/>
      <w:kern w:val="20"/>
      <w:sz w:val="56"/>
      <w:szCs w:val="20"/>
      <w:lang w:val="es-ES" w:eastAsia="ja-JP"/>
    </w:rPr>
  </w:style>
  <w:style w:type="paragraph" w:styleId="Ttulo">
    <w:name w:val="Title"/>
    <w:basedOn w:val="Normal"/>
    <w:next w:val="Normal"/>
    <w:link w:val="TtuloCar"/>
    <w:uiPriority w:val="19"/>
    <w:unhideWhenUsed/>
    <w:qFormat/>
    <w:rsid w:val="00C72A69"/>
    <w:pPr>
      <w:pBdr>
        <w:top w:val="single" w:sz="4" w:space="16" w:color="4472C4" w:themeColor="accent1"/>
        <w:left w:val="single" w:sz="4" w:space="20" w:color="4472C4" w:themeColor="accent1"/>
        <w:bottom w:val="single" w:sz="4" w:space="16" w:color="4472C4" w:themeColor="accent1"/>
        <w:right w:val="single" w:sz="4" w:space="20" w:color="4472C4" w:themeColor="accent1"/>
      </w:pBdr>
      <w:shd w:val="clear" w:color="auto" w:fill="4472C4" w:themeFill="accent1"/>
      <w:spacing w:before="0" w:after="240" w:line="204" w:lineRule="auto"/>
      <w:ind w:left="432" w:right="432"/>
    </w:pPr>
    <w:rPr>
      <w:rFonts w:asciiTheme="majorHAnsi" w:eastAsiaTheme="majorEastAsia" w:hAnsiTheme="majorHAnsi" w:cstheme="majorBidi"/>
      <w:caps/>
      <w:color w:val="FFFFFF" w:themeColor="background1"/>
      <w:kern w:val="28"/>
      <w:sz w:val="72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9"/>
    <w:rsid w:val="00C72A69"/>
    <w:rPr>
      <w:rFonts w:asciiTheme="majorHAnsi" w:eastAsiaTheme="majorEastAsia" w:hAnsiTheme="majorHAnsi" w:cstheme="majorBidi"/>
      <w:caps/>
      <w:color w:val="FFFFFF" w:themeColor="background1"/>
      <w:kern w:val="28"/>
      <w:sz w:val="72"/>
      <w:szCs w:val="20"/>
      <w:shd w:val="clear" w:color="auto" w:fill="4472C4" w:themeFill="accent1"/>
      <w:lang w:val="es-ES" w:eastAsia="ja-JP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72A6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A69"/>
    <w:rPr>
      <w:color w:val="595959" w:themeColor="text1" w:themeTint="A6"/>
      <w:kern w:val="20"/>
      <w:sz w:val="20"/>
      <w:szCs w:val="20"/>
      <w:lang w:val="es-ES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2A6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2A69"/>
    <w:rPr>
      <w:i/>
      <w:iCs/>
      <w:color w:val="4472C4" w:themeColor="accent1"/>
      <w:kern w:val="20"/>
      <w:sz w:val="20"/>
      <w:szCs w:val="20"/>
      <w:lang w:val="es-ES" w:eastAsia="ja-JP"/>
    </w:rPr>
  </w:style>
  <w:style w:type="paragraph" w:styleId="Descripcin">
    <w:name w:val="caption"/>
    <w:basedOn w:val="Normal"/>
    <w:next w:val="Normal"/>
    <w:uiPriority w:val="35"/>
    <w:unhideWhenUsed/>
    <w:qFormat/>
    <w:rsid w:val="00C72A69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40F70"/>
    <w:rPr>
      <w:rFonts w:asciiTheme="majorHAnsi" w:eastAsiaTheme="majorEastAsia" w:hAnsiTheme="majorHAnsi" w:cstheme="majorBidi"/>
      <w:color w:val="1F3763" w:themeColor="accent1" w:themeShade="7F"/>
      <w:kern w:val="20"/>
      <w:sz w:val="24"/>
      <w:szCs w:val="24"/>
      <w:lang w:val="es-ES" w:eastAsia="ja-JP"/>
    </w:rPr>
  </w:style>
  <w:style w:type="paragraph" w:styleId="Textoindependiente">
    <w:name w:val="Body Text"/>
    <w:basedOn w:val="Normal"/>
    <w:link w:val="TextoindependienteCar"/>
    <w:uiPriority w:val="99"/>
    <w:unhideWhenUsed/>
    <w:rsid w:val="00940F7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0F70"/>
    <w:rPr>
      <w:color w:val="595959" w:themeColor="text1" w:themeTint="A6"/>
      <w:kern w:val="20"/>
      <w:sz w:val="20"/>
      <w:szCs w:val="20"/>
      <w:lang w:val="es-E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0F7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F70"/>
    <w:rPr>
      <w:rFonts w:ascii="Segoe UI" w:hAnsi="Segoe UI" w:cs="Segoe UI"/>
      <w:color w:val="595959" w:themeColor="text1" w:themeTint="A6"/>
      <w:kern w:val="20"/>
      <w:sz w:val="18"/>
      <w:szCs w:val="18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hart" Target="charts/chart3.xml"/><Relationship Id="rId5" Type="http://schemas.openxmlformats.org/officeDocument/2006/relationships/endnotes" Target="endnotes.xml"/><Relationship Id="rId10" Type="http://schemas.openxmlformats.org/officeDocument/2006/relationships/chart" Target="charts/chart2.xml"/><Relationship Id="rId4" Type="http://schemas.openxmlformats.org/officeDocument/2006/relationships/footnotes" Target="footnote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[Reporte de seguimiento 3er  trimestre 2024.xlsx]Tabla Final!TablaDinámica2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96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INVERSION POR DEMARCACION</a:t>
            </a:r>
          </a:p>
        </c:rich>
      </c:tx>
      <c:layout>
        <c:manualLayout>
          <c:xMode val="edge"/>
          <c:yMode val="edge"/>
          <c:x val="0.35140260993833899"/>
          <c:y val="1.89991785859141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96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ctr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2.7784068788015009E-3"/>
              <c:y val="3.0398689179730104E-3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-0.15488961250177613"/>
              <c:y val="9.6953563496870579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-0.1276503626741006"/>
              <c:y val="6.0911770644054064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2.0496576408158378E-2"/>
              <c:y val="4.4724813244498236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0.16083342825370395"/>
              <c:y val="-0.1481199273167777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0.12709211346761531"/>
              <c:y val="0.10081284070260448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8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ctr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-0.15488961250177613"/>
              <c:y val="9.6953563496870579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-0.1276503626741006"/>
              <c:y val="6.0911770644054064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2.7784068788015009E-3"/>
              <c:y val="3.0398689179730104E-3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2.0496576408158378E-2"/>
              <c:y val="4.4724813244498236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0.16083342825370395"/>
              <c:y val="-0.1481199273167777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0.12709211346761531"/>
              <c:y val="0.10081284070260448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ctr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-0.15488961250177613"/>
              <c:y val="9.6953563496870579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-0.1276503626741006"/>
              <c:y val="6.0911770644054064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2.7784068788015009E-3"/>
              <c:y val="3.0398689179730104E-3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2.0496576408158378E-2"/>
              <c:y val="4.4724813244498236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0.16083342825370395"/>
              <c:y val="-0.1481199273167777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0.12709211346761531"/>
              <c:y val="0.10081284070260448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</c:pivotFmts>
    <c:plotArea>
      <c:layout>
        <c:manualLayout>
          <c:layoutTarget val="inner"/>
          <c:xMode val="edge"/>
          <c:yMode val="edge"/>
          <c:x val="0.209820340619536"/>
          <c:y val="0.1528610687555805"/>
          <c:w val="0.59025978332150286"/>
          <c:h val="0.71223232663004565"/>
        </c:manualLayout>
      </c:layout>
      <c:pieChart>
        <c:varyColors val="1"/>
        <c:ser>
          <c:idx val="0"/>
          <c:order val="0"/>
          <c:tx>
            <c:strRef>
              <c:f>'Tabla Final'!$N$7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8A2-4BAE-956F-96183EE2396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8A2-4BAE-956F-96183EE2396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8A2-4BAE-956F-96183EE2396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8A2-4BAE-956F-96183EE2396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8A2-4BAE-956F-96183EE2396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18A2-4BAE-956F-96183EE2396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18A2-4BAE-956F-96183EE23965}"/>
              </c:ext>
            </c:extLst>
          </c:dPt>
          <c:dLbls>
            <c:dLbl>
              <c:idx val="0"/>
              <c:layout>
                <c:manualLayout>
                  <c:x val="-0.15488961250177613"/>
                  <c:y val="9.695356349687057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A2-4BAE-956F-96183EE23965}"/>
                </c:ext>
              </c:extLst>
            </c:dLbl>
            <c:dLbl>
              <c:idx val="1"/>
              <c:layout>
                <c:manualLayout>
                  <c:x val="-0.1276503626741006"/>
                  <c:y val="6.091177064405406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8A2-4BAE-956F-96183EE23965}"/>
                </c:ext>
              </c:extLst>
            </c:dLbl>
            <c:dLbl>
              <c:idx val="2"/>
              <c:layout>
                <c:manualLayout>
                  <c:x val="2.7784068788015009E-3"/>
                  <c:y val="3.0398689179730104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8A2-4BAE-956F-96183EE23965}"/>
                </c:ext>
              </c:extLst>
            </c:dLbl>
            <c:dLbl>
              <c:idx val="3"/>
              <c:layout>
                <c:manualLayout>
                  <c:x val="2.0496576408158378E-2"/>
                  <c:y val="4.472481324449823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8A2-4BAE-956F-96183EE23965}"/>
                </c:ext>
              </c:extLst>
            </c:dLbl>
            <c:dLbl>
              <c:idx val="4"/>
              <c:layout>
                <c:manualLayout>
                  <c:x val="3.0478292753387013E-2"/>
                  <c:y val="5.1368751319878121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8A2-4BAE-956F-96183EE23965}"/>
                </c:ext>
              </c:extLst>
            </c:dLbl>
            <c:dLbl>
              <c:idx val="5"/>
              <c:layout>
                <c:manualLayout>
                  <c:x val="0.12709211346761531"/>
                  <c:y val="0.1008128407026044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8A2-4BAE-956F-96183EE23965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'Tabla Final'!$M$8:$M$15</c:f>
              <c:strCache>
                <c:ptCount val="7"/>
                <c:pt idx="0">
                  <c:v>ALCARRIZOS</c:v>
                </c:pt>
                <c:pt idx="1">
                  <c:v>DN</c:v>
                </c:pt>
                <c:pt idx="2">
                  <c:v>PEDRO BRAND</c:v>
                </c:pt>
                <c:pt idx="3">
                  <c:v>SDE</c:v>
                </c:pt>
                <c:pt idx="4">
                  <c:v>SDN</c:v>
                </c:pt>
                <c:pt idx="5">
                  <c:v>SDO</c:v>
                </c:pt>
                <c:pt idx="6">
                  <c:v>Guerra</c:v>
                </c:pt>
              </c:strCache>
            </c:strRef>
          </c:cat>
          <c:val>
            <c:numRef>
              <c:f>'Tabla Final'!$N$8:$N$15</c:f>
              <c:numCache>
                <c:formatCode>[$$-1C0A]#,##0.00</c:formatCode>
                <c:ptCount val="7"/>
                <c:pt idx="0">
                  <c:v>8406636.6500000004</c:v>
                </c:pt>
                <c:pt idx="1">
                  <c:v>212693489.84</c:v>
                </c:pt>
                <c:pt idx="2">
                  <c:v>66647248.699999996</c:v>
                </c:pt>
                <c:pt idx="3">
                  <c:v>156349500.97999999</c:v>
                </c:pt>
                <c:pt idx="4">
                  <c:v>85787521.079999998</c:v>
                </c:pt>
                <c:pt idx="5">
                  <c:v>935046783.97000003</c:v>
                </c:pt>
                <c:pt idx="6">
                  <c:v>24635122.359999999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18A2-4BAE-956F-96183EE2396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800"/>
      </a:pPr>
      <a:endParaRPr lang="es-MX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[Reporte de seguimiento 3er  trimestre 2024.xlsx]Tabla Final!TablaDinámica4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INVERSION POR CONCEPTO</a:t>
            </a:r>
          </a:p>
        </c:rich>
      </c:tx>
      <c:layout>
        <c:manualLayout>
          <c:xMode val="edge"/>
          <c:yMode val="edge"/>
          <c:x val="0.32164608699998976"/>
          <c:y val="6.94121729010698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ctr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2">
              <a:lumMod val="50000"/>
            </a:schemeClr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2"/>
        <c:spPr>
          <a:solidFill>
            <a:schemeClr val="accent3">
              <a:lumMod val="60000"/>
              <a:lumOff val="40000"/>
            </a:schemeClr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-0.15570120577700483"/>
              <c:y val="-0.13351620635273084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ctr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3">
              <a:lumMod val="60000"/>
              <a:lumOff val="40000"/>
            </a:schemeClr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-0.15570120577700483"/>
              <c:y val="-0.13351620635273084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2">
              <a:lumMod val="50000"/>
            </a:schemeClr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ctr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3">
              <a:lumMod val="60000"/>
              <a:lumOff val="40000"/>
            </a:schemeClr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-0.15570120577700483"/>
              <c:y val="-0.13351620635273084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2">
              <a:lumMod val="50000"/>
            </a:schemeClr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</c:pivotFmts>
    <c:plotArea>
      <c:layout>
        <c:manualLayout>
          <c:layoutTarget val="inner"/>
          <c:xMode val="edge"/>
          <c:yMode val="edge"/>
          <c:x val="0.2177282596122109"/>
          <c:y val="0.18505057403202305"/>
          <c:w val="0.62118296554732266"/>
          <c:h val="0.6537027643516552"/>
        </c:manualLayout>
      </c:layout>
      <c:pieChart>
        <c:varyColors val="1"/>
        <c:ser>
          <c:idx val="0"/>
          <c:order val="0"/>
          <c:tx>
            <c:strRef>
              <c:f>'Tabla Final'!$R$7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9F3-4BF3-8C52-1EA524DA8C02}"/>
              </c:ext>
            </c:extLst>
          </c:dPt>
          <c:dPt>
            <c:idx val="1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9F3-4BF3-8C52-1EA524DA8C02}"/>
              </c:ext>
            </c:extLst>
          </c:dPt>
          <c:dLbls>
            <c:dLbl>
              <c:idx val="0"/>
              <c:layout>
                <c:manualLayout>
                  <c:x val="4.4204672557980967E-2"/>
                  <c:y val="4.796333704360253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9F3-4BF3-8C52-1EA524DA8C02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'Tabla Final'!$Q$8:$Q$10</c:f>
              <c:strCache>
                <c:ptCount val="2"/>
                <c:pt idx="0">
                  <c:v>AGUA POTABLE</c:v>
                </c:pt>
                <c:pt idx="1">
                  <c:v>AGUA RESIDUAL</c:v>
                </c:pt>
              </c:strCache>
            </c:strRef>
          </c:cat>
          <c:val>
            <c:numRef>
              <c:f>'Tabla Final'!$R$8:$R$10</c:f>
              <c:numCache>
                <c:formatCode>_(* #,##0.00_);_(* \(#,##0.00\);_(* "-"??_);_(@_)</c:formatCode>
                <c:ptCount val="2"/>
                <c:pt idx="0">
                  <c:v>311581496.88</c:v>
                </c:pt>
                <c:pt idx="1">
                  <c:v>1177984806.7000003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9F3-4BF3-8C52-1EA524DA8C0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>
          <a:glow rad="1905000">
            <a:schemeClr val="accent5">
              <a:satMod val="175000"/>
            </a:schemeClr>
          </a:glow>
          <a:softEdge rad="863600"/>
        </a:effectLst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223559872274849"/>
          <c:y val="5.5555555555555552E-2"/>
          <c:w val="0.75282731790505886"/>
          <c:h val="0.7861883931175269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tint val="65000"/>
              </a:schemeClr>
            </a:solidFill>
            <a:ln>
              <a:noFill/>
            </a:ln>
            <a:effectLst/>
            <a:scene3d>
              <a:camera prst="orthographicFront">
                <a:rot lat="0" lon="0" rev="0"/>
              </a:camera>
              <a:lightRig rig="brightRoom" dir="tl">
                <a:rot lat="0" lon="0" rev="1800000"/>
              </a:lightRig>
            </a:scene3d>
            <a:sp3d contourW="10160" prstMaterial="dkEdge">
              <a:bevelT w="38100" h="50800" prst="angle"/>
              <a:contourClr>
                <a:scrgbClr r="0" g="0" b="0">
                  <a:shade val="40000"/>
                  <a:satMod val="150000"/>
                </a:scrgb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'Res.Ejec'!$C$2:$H$2</c:f>
              <c:strCache>
                <c:ptCount val="6"/>
                <c:pt idx="0">
                  <c:v>PRESUPUESTADO PARA EL 2024</c:v>
                </c:pt>
                <c:pt idx="1">
                  <c:v>PAGADO EN EL 3ER TRIMSTRE</c:v>
                </c:pt>
                <c:pt idx="2">
                  <c:v>DEVENGADO EN EL 3ER TRIMESTRE</c:v>
                </c:pt>
                <c:pt idx="3">
                  <c:v>PAGADO DURANTE EL AÑO</c:v>
                </c:pt>
                <c:pt idx="4">
                  <c:v>DEVENGADO DURANTE EL AÑO</c:v>
                </c:pt>
                <c:pt idx="5">
                  <c:v>INVERSION RESTANTE</c:v>
                </c:pt>
              </c:strCache>
            </c:strRef>
          </c:cat>
          <c:val>
            <c:numRef>
              <c:f>'Res.Ejec'!$C$3:$H$3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5CFD-421E-AD9E-E2191B1B0EA8}"/>
            </c:ext>
          </c:extLst>
        </c:ser>
        <c:ser>
          <c:idx val="1"/>
          <c:order val="1"/>
          <c:spPr>
            <a:solidFill>
              <a:schemeClr val="accent5"/>
            </a:solidFill>
            <a:ln>
              <a:noFill/>
            </a:ln>
            <a:effectLst/>
            <a:scene3d>
              <a:camera prst="orthographicFront">
                <a:rot lat="0" lon="0" rev="0"/>
              </a:camera>
              <a:lightRig rig="brightRoom" dir="tl">
                <a:rot lat="0" lon="0" rev="1800000"/>
              </a:lightRig>
            </a:scene3d>
            <a:sp3d contourW="10160" prstMaterial="dkEdge">
              <a:bevelT w="38100" h="50800" prst="angle"/>
              <a:contourClr>
                <a:scrgbClr r="0" g="0" b="0">
                  <a:shade val="40000"/>
                  <a:satMod val="150000"/>
                </a:scrgb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'Res.Ejec'!$C$2:$H$2</c:f>
              <c:strCache>
                <c:ptCount val="6"/>
                <c:pt idx="0">
                  <c:v>PRESUPUESTADO PARA EL 2024</c:v>
                </c:pt>
                <c:pt idx="1">
                  <c:v>PAGADO EN EL 3ER TRIMSTRE</c:v>
                </c:pt>
                <c:pt idx="2">
                  <c:v>DEVENGADO EN EL 3ER TRIMESTRE</c:v>
                </c:pt>
                <c:pt idx="3">
                  <c:v>PAGADO DURANTE EL AÑO</c:v>
                </c:pt>
                <c:pt idx="4">
                  <c:v>DEVENGADO DURANTE EL AÑO</c:v>
                </c:pt>
                <c:pt idx="5">
                  <c:v>INVERSION RESTANTE</c:v>
                </c:pt>
              </c:strCache>
            </c:strRef>
          </c:cat>
          <c:val>
            <c:numRef>
              <c:f>'Res.Ejec'!$C$4:$H$4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5CFD-421E-AD9E-E2191B1B0EA8}"/>
            </c:ext>
          </c:extLst>
        </c:ser>
        <c:ser>
          <c:idx val="2"/>
          <c:order val="2"/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  <a:scene3d>
              <a:camera prst="orthographicFront">
                <a:rot lat="0" lon="0" rev="0"/>
              </a:camera>
              <a:lightRig rig="brightRoom" dir="tl">
                <a:rot lat="0" lon="0" rev="1800000"/>
              </a:lightRig>
            </a:scene3d>
            <a:sp3d contourW="10160" prstMaterial="dkEdge">
              <a:bevelT w="38100" h="50800" prst="angle"/>
              <a:contourClr>
                <a:scrgbClr r="0" g="0" b="0">
                  <a:shade val="40000"/>
                  <a:satMod val="150000"/>
                </a:scrgbClr>
              </a:contourClr>
            </a:sp3d>
          </c:spPr>
          <c:invertIfNegative val="0"/>
          <c:dPt>
            <c:idx val="2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brightRoom" dir="tl">
                  <a:rot lat="0" lon="0" rev="1800000"/>
                </a:lightRig>
              </a:scene3d>
              <a:sp3d contourW="10160" prstMaterial="dkEdge">
                <a:bevelT w="38100" h="50800" prst="angle"/>
                <a:contourClr>
                  <a:scrgbClr r="0" g="0" b="0">
                    <a:shade val="40000"/>
                    <a:satMod val="150000"/>
                  </a:scrgb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CFD-421E-AD9E-E2191B1B0EA8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brightRoom" dir="tl">
                  <a:rot lat="0" lon="0" rev="1800000"/>
                </a:lightRig>
              </a:scene3d>
              <a:sp3d contourW="10160" prstMaterial="dkEdge">
                <a:bevelT w="38100" h="50800" prst="angle"/>
                <a:contourClr>
                  <a:scrgbClr r="0" g="0" b="0">
                    <a:shade val="40000"/>
                    <a:satMod val="150000"/>
                  </a:scrgb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CFD-421E-AD9E-E2191B1B0EA8}"/>
              </c:ext>
            </c:extLst>
          </c:dPt>
          <c:dLbls>
            <c:dLbl>
              <c:idx val="1"/>
              <c:layout>
                <c:manualLayout>
                  <c:x val="0"/>
                  <c:y val="1.03761348897535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CFD-421E-AD9E-E2191B1B0EA8}"/>
                </c:ext>
              </c:extLst>
            </c:dLbl>
            <c:dLbl>
              <c:idx val="2"/>
              <c:layout>
                <c:manualLayout>
                  <c:x val="0"/>
                  <c:y val="-3.38777914881000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CFD-421E-AD9E-E2191B1B0EA8}"/>
                </c:ext>
              </c:extLst>
            </c:dLbl>
            <c:dLbl>
              <c:idx val="4"/>
              <c:layout>
                <c:manualLayout>
                  <c:x val="0"/>
                  <c:y val="-7.154998621281288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CFD-421E-AD9E-E2191B1B0E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'Res.Ejec'!$C$2:$H$2</c:f>
              <c:strCache>
                <c:ptCount val="6"/>
                <c:pt idx="0">
                  <c:v>PRESUPUESTADO PARA EL 2024</c:v>
                </c:pt>
                <c:pt idx="1">
                  <c:v>PAGADO EN EL 3ER TRIMSTRE</c:v>
                </c:pt>
                <c:pt idx="2">
                  <c:v>DEVENGADO EN EL 3ER TRIMESTRE</c:v>
                </c:pt>
                <c:pt idx="3">
                  <c:v>PAGADO DURANTE EL AÑO</c:v>
                </c:pt>
                <c:pt idx="4">
                  <c:v>DEVENGADO DURANTE EL AÑO</c:v>
                </c:pt>
                <c:pt idx="5">
                  <c:v>INVERSION RESTANTE</c:v>
                </c:pt>
              </c:strCache>
            </c:strRef>
          </c:cat>
          <c:val>
            <c:numRef>
              <c:f>'Res.Ejec'!$C$5:$H$5</c:f>
              <c:numCache>
                <c:formatCode>#,##0.00</c:formatCode>
                <c:ptCount val="6"/>
                <c:pt idx="0">
                  <c:v>7009049420.3900003</c:v>
                </c:pt>
                <c:pt idx="1">
                  <c:v>1489566303.5799999</c:v>
                </c:pt>
                <c:pt idx="2">
                  <c:v>1475241889.6700001</c:v>
                </c:pt>
                <c:pt idx="3">
                  <c:v>2788851661.4699998</c:v>
                </c:pt>
                <c:pt idx="4">
                  <c:v>3054608761.8999996</c:v>
                </c:pt>
                <c:pt idx="5">
                  <c:v>4220197758.9200006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CFD-421E-AD9E-E2191B1B0EA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69204736"/>
        <c:axId val="161532160"/>
      </c:barChart>
      <c:catAx>
        <c:axId val="369204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t" anchorCtr="0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61532160"/>
        <c:crosses val="autoZero"/>
        <c:auto val="1"/>
        <c:lblAlgn val="ctr"/>
        <c:lblOffset val="100"/>
        <c:noMultiLvlLbl val="0"/>
      </c:catAx>
      <c:valAx>
        <c:axId val="161532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DO"/>
                  <a:t>RD$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#,##0.0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69204736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  <c:userShapes r:id="rId5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1"/>
              <c:layout>
                <c:manualLayout>
                  <c:x val="-4.7036688617121784E-3"/>
                  <c:y val="-5.05506409099115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DC0-43CF-B520-7482AD1BFF49}"/>
                </c:ext>
              </c:extLst>
            </c:dLbl>
            <c:dLbl>
              <c:idx val="6"/>
              <c:layout>
                <c:manualLayout>
                  <c:x val="0"/>
                  <c:y val="-3.249684058494312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DC0-43CF-B520-7482AD1BFF49}"/>
                </c:ext>
              </c:extLst>
            </c:dLbl>
            <c:dLbl>
              <c:idx val="7"/>
              <c:layout>
                <c:manualLayout>
                  <c:x val="-2.3518344308560675E-3"/>
                  <c:y val="-5.77721610398988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DC0-43CF-B520-7482AD1BFF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'Historico de Desembolsos 2020'!$C$9:$N$9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'Historico de Desembolsos 2020'!$C$34:$N$34</c:f>
              <c:numCache>
                <c:formatCode>#,##0.00</c:formatCode>
                <c:ptCount val="12"/>
                <c:pt idx="0">
                  <c:v>1155874.6000000001</c:v>
                </c:pt>
                <c:pt idx="1">
                  <c:v>148218243.37</c:v>
                </c:pt>
                <c:pt idx="2">
                  <c:v>134054275.03</c:v>
                </c:pt>
                <c:pt idx="3">
                  <c:v>368732340.05999994</c:v>
                </c:pt>
                <c:pt idx="4">
                  <c:v>450849724.68000001</c:v>
                </c:pt>
                <c:pt idx="5">
                  <c:v>196274900.14999998</c:v>
                </c:pt>
                <c:pt idx="6">
                  <c:v>225899463.38</c:v>
                </c:pt>
                <c:pt idx="7">
                  <c:v>286773113.81999999</c:v>
                </c:pt>
                <c:pt idx="8">
                  <c:v>976893726.38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C0-43CF-B520-7482AD1BFF4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9202688"/>
        <c:axId val="161530432"/>
      </c:barChart>
      <c:catAx>
        <c:axId val="369202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61530432"/>
        <c:crosses val="autoZero"/>
        <c:auto val="1"/>
        <c:lblAlgn val="ctr"/>
        <c:lblOffset val="100"/>
        <c:noMultiLvlLbl val="0"/>
      </c:catAx>
      <c:valAx>
        <c:axId val="161530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Pesos Dominicanos [RD$]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69202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0.42132</cdr:x>
      <cdr:y>0.86632</cdr:y>
    </cdr:from>
    <cdr:to>
      <cdr:x>0.58714</cdr:x>
      <cdr:y>1</cdr:y>
    </cdr:to>
    <cdr:sp macro="" textlink="">
      <cdr:nvSpPr>
        <cdr:cNvPr id="2" name="CuadroTexto 1">
          <a:extLst xmlns:a="http://schemas.openxmlformats.org/drawingml/2006/main">
            <a:ext uri="{FF2B5EF4-FFF2-40B4-BE49-F238E27FC236}">
              <a16:creationId xmlns:a16="http://schemas.microsoft.com/office/drawing/2014/main" id="{292CEE2F-0DFA-4B5E-A358-97ED0568A2FC}"/>
            </a:ext>
          </a:extLst>
        </cdr:cNvPr>
        <cdr:cNvSpPr txBox="1"/>
      </cdr:nvSpPr>
      <cdr:spPr>
        <a:xfrm xmlns:a="http://schemas.openxmlformats.org/drawingml/2006/main">
          <a:off x="2371726" y="2376488"/>
          <a:ext cx="933450" cy="3667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s-DO" sz="1100"/>
        </a:p>
      </cdr:txBody>
    </cdr:sp>
  </cdr:relSizeAnchor>
  <cdr:relSizeAnchor xmlns:cdr="http://schemas.openxmlformats.org/drawingml/2006/chartDrawing">
    <cdr:from>
      <cdr:x>0.41963</cdr:x>
      <cdr:y>0.86856</cdr:y>
    </cdr:from>
    <cdr:to>
      <cdr:x>0.59391</cdr:x>
      <cdr:y>0.91403</cdr:y>
    </cdr:to>
    <cdr:sp macro="" textlink="">
      <cdr:nvSpPr>
        <cdr:cNvPr id="3" name="CuadroTexto 2">
          <a:extLst xmlns:a="http://schemas.openxmlformats.org/drawingml/2006/main">
            <a:ext uri="{FF2B5EF4-FFF2-40B4-BE49-F238E27FC236}">
              <a16:creationId xmlns:a16="http://schemas.microsoft.com/office/drawing/2014/main" id="{35029AD1-67B1-4904-A5A7-EB8AFE620D7A}"/>
            </a:ext>
          </a:extLst>
        </cdr:cNvPr>
        <cdr:cNvSpPr txBox="1"/>
      </cdr:nvSpPr>
      <cdr:spPr>
        <a:xfrm xmlns:a="http://schemas.openxmlformats.org/drawingml/2006/main">
          <a:off x="2362200" y="2328863"/>
          <a:ext cx="981075" cy="1219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DO" sz="1100"/>
        </a:p>
      </cdr:txBody>
    </cdr:sp>
  </cdr:relSizeAnchor>
  <cdr:relSizeAnchor xmlns:cdr="http://schemas.openxmlformats.org/drawingml/2006/chartDrawing">
    <cdr:from>
      <cdr:x>0.42132</cdr:x>
      <cdr:y>0.86146</cdr:y>
    </cdr:from>
    <cdr:to>
      <cdr:x>0.58714</cdr:x>
      <cdr:y>0.91829</cdr:y>
    </cdr:to>
    <cdr:sp macro="" textlink="">
      <cdr:nvSpPr>
        <cdr:cNvPr id="4" name="CuadroTexto 3">
          <a:extLst xmlns:a="http://schemas.openxmlformats.org/drawingml/2006/main">
            <a:ext uri="{FF2B5EF4-FFF2-40B4-BE49-F238E27FC236}">
              <a16:creationId xmlns:a16="http://schemas.microsoft.com/office/drawing/2014/main" id="{DB6F421A-1D2E-4EE3-8D45-9B2A093BD8A5}"/>
            </a:ext>
          </a:extLst>
        </cdr:cNvPr>
        <cdr:cNvSpPr txBox="1"/>
      </cdr:nvSpPr>
      <cdr:spPr>
        <a:xfrm xmlns:a="http://schemas.openxmlformats.org/drawingml/2006/main">
          <a:off x="2371725" y="2309813"/>
          <a:ext cx="933450" cy="152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DO" sz="1100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Verde azulado">
    <a:dk1>
      <a:sysClr val="windowText" lastClr="000000"/>
    </a:dk1>
    <a:lt1>
      <a:sysClr val="window" lastClr="FFFFFF"/>
    </a:lt1>
    <a:dk2>
      <a:srgbClr val="373545"/>
    </a:dk2>
    <a:lt2>
      <a:srgbClr val="CEDBE6"/>
    </a:lt2>
    <a:accent1>
      <a:srgbClr val="3494BA"/>
    </a:accent1>
    <a:accent2>
      <a:srgbClr val="58B6C0"/>
    </a:accent2>
    <a:accent3>
      <a:srgbClr val="75BDA7"/>
    </a:accent3>
    <a:accent4>
      <a:srgbClr val="7A8C8E"/>
    </a:accent4>
    <a:accent5>
      <a:srgbClr val="84ACB6"/>
    </a:accent5>
    <a:accent6>
      <a:srgbClr val="2683C6"/>
    </a:accent6>
    <a:hlink>
      <a:srgbClr val="6B9F25"/>
    </a:hlink>
    <a:folHlink>
      <a:srgbClr val="9F6715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Borde de resplandor">
    <a:fillStyleLst>
      <a:solidFill>
        <a:schemeClr val="phClr"/>
      </a:solidFill>
      <a:solidFill>
        <a:schemeClr val="phClr">
          <a:tint val="55000"/>
        </a:schemeClr>
      </a:solidFill>
      <a:solidFill>
        <a:schemeClr val="phClr"/>
      </a:solidFill>
    </a:fillStyleLst>
    <a:lnStyleLst>
      <a:ln w="12700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50800" dist="25400" algn="bl" rotWithShape="0">
            <a:srgbClr val="000000">
              <a:alpha val="60000"/>
            </a:srgbClr>
          </a:outerShdw>
        </a:effectLst>
      </a:effectStyle>
      <a:effectStyle>
        <a:effectLst/>
        <a:scene3d>
          <a:camera prst="orthographicFront">
            <a:rot lat="0" lon="0" rev="0"/>
          </a:camera>
          <a:lightRig rig="brightRoom" dir="tl">
            <a:rot lat="0" lon="0" rev="1800000"/>
          </a:lightRig>
        </a:scene3d>
        <a:sp3d contourW="10160" prstMaterial="dkEdge">
          <a:bevelT w="38100" h="50800" prst="angle"/>
          <a:contourClr>
            <a:schemeClr val="phClr">
              <a:shade val="40000"/>
              <a:satMod val="15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Verde azulado">
    <a:dk1>
      <a:sysClr val="windowText" lastClr="000000"/>
    </a:dk1>
    <a:lt1>
      <a:sysClr val="window" lastClr="FFFFFF"/>
    </a:lt1>
    <a:dk2>
      <a:srgbClr val="373545"/>
    </a:dk2>
    <a:lt2>
      <a:srgbClr val="CEDBE6"/>
    </a:lt2>
    <a:accent1>
      <a:srgbClr val="3494BA"/>
    </a:accent1>
    <a:accent2>
      <a:srgbClr val="58B6C0"/>
    </a:accent2>
    <a:accent3>
      <a:srgbClr val="75BDA7"/>
    </a:accent3>
    <a:accent4>
      <a:srgbClr val="7A8C8E"/>
    </a:accent4>
    <a:accent5>
      <a:srgbClr val="84ACB6"/>
    </a:accent5>
    <a:accent6>
      <a:srgbClr val="2683C6"/>
    </a:accent6>
    <a:hlink>
      <a:srgbClr val="6B9F25"/>
    </a:hlink>
    <a:folHlink>
      <a:srgbClr val="9F6715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Borde de resplandor">
    <a:fillStyleLst>
      <a:solidFill>
        <a:schemeClr val="phClr"/>
      </a:solidFill>
      <a:solidFill>
        <a:schemeClr val="phClr">
          <a:tint val="55000"/>
        </a:schemeClr>
      </a:solidFill>
      <a:solidFill>
        <a:schemeClr val="phClr"/>
      </a:solidFill>
    </a:fillStyleLst>
    <a:lnStyleLst>
      <a:ln w="12700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50800" dist="25400" algn="bl" rotWithShape="0">
            <a:srgbClr val="000000">
              <a:alpha val="60000"/>
            </a:srgbClr>
          </a:outerShdw>
        </a:effectLst>
      </a:effectStyle>
      <a:effectStyle>
        <a:effectLst/>
        <a:scene3d>
          <a:camera prst="orthographicFront">
            <a:rot lat="0" lon="0" rev="0"/>
          </a:camera>
          <a:lightRig rig="brightRoom" dir="tl">
            <a:rot lat="0" lon="0" rev="1800000"/>
          </a:lightRig>
        </a:scene3d>
        <a:sp3d contourW="10160" prstMaterial="dkEdge">
          <a:bevelT w="38100" h="50800" prst="angle"/>
          <a:contourClr>
            <a:schemeClr val="phClr">
              <a:shade val="40000"/>
              <a:satMod val="15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Verde azulado">
    <a:dk1>
      <a:sysClr val="windowText" lastClr="000000"/>
    </a:dk1>
    <a:lt1>
      <a:sysClr val="window" lastClr="FFFFFF"/>
    </a:lt1>
    <a:dk2>
      <a:srgbClr val="373545"/>
    </a:dk2>
    <a:lt2>
      <a:srgbClr val="CEDBE6"/>
    </a:lt2>
    <a:accent1>
      <a:srgbClr val="3494BA"/>
    </a:accent1>
    <a:accent2>
      <a:srgbClr val="58B6C0"/>
    </a:accent2>
    <a:accent3>
      <a:srgbClr val="75BDA7"/>
    </a:accent3>
    <a:accent4>
      <a:srgbClr val="7A8C8E"/>
    </a:accent4>
    <a:accent5>
      <a:srgbClr val="84ACB6"/>
    </a:accent5>
    <a:accent6>
      <a:srgbClr val="2683C6"/>
    </a:accent6>
    <a:hlink>
      <a:srgbClr val="6B9F25"/>
    </a:hlink>
    <a:folHlink>
      <a:srgbClr val="9F6715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Borde de resplandor">
    <a:fillStyleLst>
      <a:solidFill>
        <a:schemeClr val="phClr"/>
      </a:solidFill>
      <a:solidFill>
        <a:schemeClr val="phClr">
          <a:tint val="55000"/>
        </a:schemeClr>
      </a:solidFill>
      <a:solidFill>
        <a:schemeClr val="phClr"/>
      </a:solidFill>
    </a:fillStyleLst>
    <a:lnStyleLst>
      <a:ln w="12700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50800" dist="25400" algn="bl" rotWithShape="0">
            <a:srgbClr val="000000">
              <a:alpha val="60000"/>
            </a:srgbClr>
          </a:outerShdw>
        </a:effectLst>
      </a:effectStyle>
      <a:effectStyle>
        <a:effectLst/>
        <a:scene3d>
          <a:camera prst="orthographicFront">
            <a:rot lat="0" lon="0" rev="0"/>
          </a:camera>
          <a:lightRig rig="brightRoom" dir="tl">
            <a:rot lat="0" lon="0" rev="1800000"/>
          </a:lightRig>
        </a:scene3d>
        <a:sp3d contourW="10160" prstMaterial="dkEdge">
          <a:bevelT w="38100" h="50800" prst="angle"/>
          <a:contourClr>
            <a:schemeClr val="phClr">
              <a:shade val="40000"/>
              <a:satMod val="15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Verde azulado">
    <a:dk1>
      <a:sysClr val="windowText" lastClr="000000"/>
    </a:dk1>
    <a:lt1>
      <a:sysClr val="window" lastClr="FFFFFF"/>
    </a:lt1>
    <a:dk2>
      <a:srgbClr val="373545"/>
    </a:dk2>
    <a:lt2>
      <a:srgbClr val="CEDBE6"/>
    </a:lt2>
    <a:accent1>
      <a:srgbClr val="3494BA"/>
    </a:accent1>
    <a:accent2>
      <a:srgbClr val="58B6C0"/>
    </a:accent2>
    <a:accent3>
      <a:srgbClr val="75BDA7"/>
    </a:accent3>
    <a:accent4>
      <a:srgbClr val="7A8C8E"/>
    </a:accent4>
    <a:accent5>
      <a:srgbClr val="84ACB6"/>
    </a:accent5>
    <a:accent6>
      <a:srgbClr val="2683C6"/>
    </a:accent6>
    <a:hlink>
      <a:srgbClr val="6B9F25"/>
    </a:hlink>
    <a:folHlink>
      <a:srgbClr val="9F6715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Borde de resplandor">
    <a:fillStyleLst>
      <a:solidFill>
        <a:schemeClr val="phClr"/>
      </a:solidFill>
      <a:solidFill>
        <a:schemeClr val="phClr">
          <a:tint val="55000"/>
        </a:schemeClr>
      </a:solidFill>
      <a:solidFill>
        <a:schemeClr val="phClr"/>
      </a:solidFill>
    </a:fillStyleLst>
    <a:lnStyleLst>
      <a:ln w="12700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50800" dist="25400" algn="bl" rotWithShape="0">
            <a:srgbClr val="000000">
              <a:alpha val="60000"/>
            </a:srgbClr>
          </a:outerShdw>
        </a:effectLst>
      </a:effectStyle>
      <a:effectStyle>
        <a:effectLst/>
        <a:scene3d>
          <a:camera prst="orthographicFront">
            <a:rot lat="0" lon="0" rev="0"/>
          </a:camera>
          <a:lightRig rig="brightRoom" dir="tl">
            <a:rot lat="0" lon="0" rev="1800000"/>
          </a:lightRig>
        </a:scene3d>
        <a:sp3d contourW="10160" prstMaterial="dkEdge">
          <a:bevelT w="38100" h="50800" prst="angle"/>
          <a:contourClr>
            <a:schemeClr val="phClr">
              <a:shade val="40000"/>
              <a:satMod val="15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600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Reporte de seguimiento de proyectos</vt:lpstr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 de seguimiento de proyectos</dc:title>
  <dc:creator>Bolivar A. Revi Perez</dc:creator>
  <cp:lastModifiedBy>Sergio M. Polanco Albuerne</cp:lastModifiedBy>
  <cp:revision>25</cp:revision>
  <cp:lastPrinted>2024-10-17T13:04:00Z</cp:lastPrinted>
  <dcterms:created xsi:type="dcterms:W3CDTF">2023-10-13T13:44:00Z</dcterms:created>
  <dcterms:modified xsi:type="dcterms:W3CDTF">2024-10-17T13:06:00Z</dcterms:modified>
</cp:coreProperties>
</file>