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4EE52" w14:textId="0E55119C" w:rsidR="00723410" w:rsidRDefault="00723410" w:rsidP="00723410">
      <w:pPr>
        <w:pStyle w:val="Ttulo2"/>
        <w:numPr>
          <w:ilvl w:val="1"/>
          <w:numId w:val="0"/>
        </w:numPr>
        <w:tabs>
          <w:tab w:val="num" w:pos="720"/>
        </w:tabs>
        <w:spacing w:before="40"/>
        <w:ind w:left="576" w:hanging="576"/>
      </w:pPr>
      <w:r>
        <w:t>Ficha técnica del proyecto</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C2545" w:rsidRPr="006E1C0B" w14:paraId="22D740F5" w14:textId="77777777" w:rsidTr="00AD57A0">
        <w:trPr>
          <w:jc w:val="center"/>
        </w:trPr>
        <w:tc>
          <w:tcPr>
            <w:tcW w:w="9918" w:type="dxa"/>
          </w:tcPr>
          <w:p w14:paraId="2CA52842" w14:textId="77777777" w:rsidR="007C2545" w:rsidRPr="006E1C0B" w:rsidRDefault="007C2545" w:rsidP="00AD57A0">
            <w:pPr>
              <w:spacing w:after="0" w:line="360" w:lineRule="auto"/>
              <w:rPr>
                <w:rFonts w:eastAsia="Calibri" w:cstheme="minorHAnsi"/>
                <w:b/>
                <w:bCs/>
                <w:sz w:val="20"/>
                <w:szCs w:val="18"/>
                <w:lang w:eastAsia="es-ES"/>
              </w:rPr>
            </w:pPr>
            <w:r w:rsidRPr="006E1C0B">
              <w:rPr>
                <w:rFonts w:eastAsia="Calibri" w:cstheme="minorHAnsi"/>
                <w:b/>
                <w:bCs/>
                <w:sz w:val="20"/>
                <w:szCs w:val="18"/>
                <w:lang w:eastAsia="es-ES"/>
              </w:rPr>
              <w:t>Nombre del Proyecto:</w:t>
            </w:r>
          </w:p>
          <w:p w14:paraId="57062C1D" w14:textId="77777777" w:rsidR="007C2545" w:rsidRPr="006E1C0B" w:rsidRDefault="007C2545" w:rsidP="00AD57A0">
            <w:pPr>
              <w:spacing w:after="0" w:line="240" w:lineRule="auto"/>
              <w:rPr>
                <w:rFonts w:eastAsia="Calibri" w:cstheme="minorHAnsi"/>
                <w:sz w:val="20"/>
                <w:szCs w:val="18"/>
                <w:lang w:eastAsia="es-ES"/>
              </w:rPr>
            </w:pPr>
            <w:r w:rsidRPr="006E1C0B">
              <w:rPr>
                <w:rFonts w:eastAsia="Calibri" w:cstheme="minorHAnsi"/>
                <w:sz w:val="20"/>
                <w:szCs w:val="18"/>
                <w:lang w:eastAsia="es-ES"/>
              </w:rPr>
              <w:t>AMPLIACION DE LAS REDES DEL ALCANTARILLADO SANITARIO EN LA AVENIDA JACOBO MAJLUTA</w:t>
            </w:r>
          </w:p>
        </w:tc>
      </w:tr>
      <w:tr w:rsidR="007C2545" w:rsidRPr="006E1C0B" w14:paraId="5BDB6B22" w14:textId="77777777" w:rsidTr="00AD57A0">
        <w:trPr>
          <w:jc w:val="center"/>
        </w:trPr>
        <w:tc>
          <w:tcPr>
            <w:tcW w:w="9918" w:type="dxa"/>
          </w:tcPr>
          <w:p w14:paraId="36E3CA7A" w14:textId="77777777" w:rsidR="007C2545" w:rsidRPr="006E1C0B" w:rsidRDefault="007C2545" w:rsidP="00AD57A0">
            <w:pPr>
              <w:spacing w:line="360" w:lineRule="auto"/>
              <w:rPr>
                <w:rFonts w:eastAsia="Calibri" w:cstheme="minorHAnsi"/>
                <w:bCs/>
                <w:sz w:val="20"/>
                <w:szCs w:val="18"/>
                <w:lang w:eastAsia="es-ES"/>
              </w:rPr>
            </w:pPr>
            <w:r w:rsidRPr="006E1C0B">
              <w:rPr>
                <w:rFonts w:eastAsia="Calibri" w:cstheme="minorHAnsi"/>
                <w:b/>
                <w:bCs/>
                <w:sz w:val="20"/>
                <w:szCs w:val="18"/>
                <w:lang w:eastAsia="es-ES"/>
              </w:rPr>
              <w:t xml:space="preserve">Tipología:     Capital Fijo   </w:t>
            </w:r>
            <w:r w:rsidRPr="006E1C0B">
              <w:rPr>
                <w:rFonts w:eastAsia="Calibri" w:cstheme="minorHAnsi"/>
                <w:bCs/>
                <w:sz w:val="20"/>
                <w:szCs w:val="18"/>
                <w:lang w:eastAsia="es-ES"/>
              </w:rPr>
              <w:t xml:space="preserve">X  </w:t>
            </w:r>
            <w:r w:rsidRPr="006E1C0B">
              <w:rPr>
                <w:rFonts w:eastAsia="Calibri" w:cstheme="minorHAnsi"/>
                <w:b/>
                <w:bCs/>
                <w:sz w:val="20"/>
                <w:szCs w:val="18"/>
                <w:lang w:eastAsia="es-ES"/>
              </w:rPr>
              <w:t xml:space="preserve">          Capital Humano            Generación de Conocimiento</w:t>
            </w:r>
          </w:p>
        </w:tc>
      </w:tr>
      <w:tr w:rsidR="007C2545" w:rsidRPr="006E1C0B" w14:paraId="0D7A6E96" w14:textId="77777777" w:rsidTr="00AD57A0">
        <w:trPr>
          <w:trHeight w:val="183"/>
          <w:jc w:val="center"/>
        </w:trPr>
        <w:tc>
          <w:tcPr>
            <w:tcW w:w="9918" w:type="dxa"/>
          </w:tcPr>
          <w:p w14:paraId="0BA9D5C4" w14:textId="77777777" w:rsidR="007C2545" w:rsidRPr="006E1C0B" w:rsidRDefault="007C2545" w:rsidP="00AD57A0">
            <w:pPr>
              <w:spacing w:line="360" w:lineRule="auto"/>
              <w:rPr>
                <w:rFonts w:eastAsia="Calibri" w:cstheme="minorHAnsi"/>
                <w:bCs/>
                <w:sz w:val="20"/>
                <w:szCs w:val="18"/>
                <w:lang w:eastAsia="es-ES"/>
              </w:rPr>
            </w:pPr>
            <w:r w:rsidRPr="006E1C0B">
              <w:rPr>
                <w:rFonts w:eastAsia="Calibri" w:cstheme="minorHAnsi"/>
                <w:b/>
                <w:bCs/>
                <w:sz w:val="20"/>
                <w:szCs w:val="18"/>
                <w:lang w:eastAsia="es-ES"/>
              </w:rPr>
              <w:t>Estado del proyecto:      Nuevo</w:t>
            </w:r>
            <w:r w:rsidRPr="006E1C0B">
              <w:rPr>
                <w:rFonts w:eastAsia="Calibri" w:cstheme="minorHAnsi"/>
                <w:bCs/>
                <w:sz w:val="20"/>
                <w:szCs w:val="18"/>
                <w:lang w:eastAsia="es-ES"/>
              </w:rPr>
              <w:t xml:space="preserve"> </w:t>
            </w:r>
            <w:r w:rsidRPr="006E1C0B">
              <w:rPr>
                <w:rFonts w:eastAsia="Calibri" w:cstheme="minorHAnsi"/>
                <w:b/>
                <w:bCs/>
                <w:sz w:val="20"/>
                <w:szCs w:val="18"/>
                <w:lang w:eastAsia="es-ES"/>
              </w:rPr>
              <w:t xml:space="preserve"> X                 Arrastre </w:t>
            </w:r>
          </w:p>
        </w:tc>
      </w:tr>
      <w:tr w:rsidR="007C2545" w:rsidRPr="006E1C0B" w14:paraId="3C7EB5ED" w14:textId="77777777" w:rsidTr="00AD57A0">
        <w:trPr>
          <w:trHeight w:val="135"/>
          <w:jc w:val="center"/>
        </w:trPr>
        <w:tc>
          <w:tcPr>
            <w:tcW w:w="9918" w:type="dxa"/>
          </w:tcPr>
          <w:p w14:paraId="2CF134AE" w14:textId="77777777" w:rsidR="007C2545" w:rsidRPr="006E1C0B" w:rsidRDefault="007C2545" w:rsidP="00AD57A0">
            <w:pPr>
              <w:spacing w:line="360" w:lineRule="auto"/>
              <w:rPr>
                <w:rFonts w:eastAsia="Calibri" w:cstheme="minorHAnsi"/>
                <w:bCs/>
                <w:sz w:val="20"/>
                <w:szCs w:val="18"/>
                <w:lang w:eastAsia="es-ES"/>
              </w:rPr>
            </w:pPr>
            <w:r w:rsidRPr="006E1C0B">
              <w:rPr>
                <w:rFonts w:eastAsia="Calibri" w:cstheme="minorHAnsi"/>
                <w:b/>
                <w:bCs/>
                <w:sz w:val="20"/>
                <w:szCs w:val="18"/>
                <w:lang w:eastAsia="es-ES"/>
              </w:rPr>
              <w:t xml:space="preserve">Fase:     Pre-inversión:                       Inversión: </w:t>
            </w:r>
            <w:r w:rsidRPr="006E1C0B">
              <w:rPr>
                <w:rFonts w:eastAsia="Calibri" w:cstheme="minorHAnsi"/>
                <w:bCs/>
                <w:sz w:val="20"/>
                <w:szCs w:val="18"/>
                <w:lang w:eastAsia="es-ES"/>
              </w:rPr>
              <w:t xml:space="preserve"> X</w:t>
            </w:r>
          </w:p>
        </w:tc>
      </w:tr>
      <w:tr w:rsidR="007C2545" w:rsidRPr="006E1C0B" w14:paraId="57C70F74" w14:textId="77777777" w:rsidTr="00AD57A0">
        <w:trPr>
          <w:jc w:val="center"/>
        </w:trPr>
        <w:tc>
          <w:tcPr>
            <w:tcW w:w="9918" w:type="dxa"/>
          </w:tcPr>
          <w:p w14:paraId="64162035" w14:textId="77777777" w:rsidR="007C2545" w:rsidRPr="006E1C0B" w:rsidRDefault="007C2545" w:rsidP="00AD57A0">
            <w:pPr>
              <w:spacing w:after="0" w:line="360" w:lineRule="auto"/>
              <w:rPr>
                <w:rFonts w:eastAsia="Calibri" w:cstheme="minorHAnsi"/>
                <w:bCs/>
                <w:sz w:val="20"/>
                <w:szCs w:val="18"/>
                <w:lang w:eastAsia="es-ES"/>
              </w:rPr>
            </w:pPr>
            <w:r w:rsidRPr="006E1C0B">
              <w:rPr>
                <w:rFonts w:eastAsia="Calibri" w:cstheme="minorHAnsi"/>
                <w:b/>
                <w:bCs/>
                <w:sz w:val="20"/>
                <w:szCs w:val="18"/>
                <w:lang w:eastAsia="es-ES"/>
              </w:rPr>
              <w:t>Descripción del proyecto:</w:t>
            </w:r>
          </w:p>
          <w:p w14:paraId="3FDE8CA9" w14:textId="77777777" w:rsidR="007C2545" w:rsidRPr="006E1C0B" w:rsidRDefault="007C2545" w:rsidP="00AD57A0">
            <w:pPr>
              <w:spacing w:after="0" w:line="240" w:lineRule="auto"/>
              <w:rPr>
                <w:rFonts w:eastAsia="Calibri" w:cstheme="minorHAnsi"/>
                <w:sz w:val="20"/>
                <w:szCs w:val="18"/>
                <w:lang w:eastAsia="es-ES"/>
              </w:rPr>
            </w:pPr>
            <w:bookmarkStart w:id="0" w:name="_Hlk157368993"/>
            <w:bookmarkStart w:id="1" w:name="_Hlk179453855"/>
            <w:r w:rsidRPr="006E1C0B">
              <w:rPr>
                <w:rFonts w:eastAsia="Calibri" w:cstheme="minorHAnsi"/>
                <w:sz w:val="20"/>
                <w:szCs w:val="18"/>
                <w:lang w:eastAsia="es-ES"/>
              </w:rPr>
              <w:t>El proyecto consiste en la colocación de 5.</w:t>
            </w:r>
            <w:r>
              <w:rPr>
                <w:rFonts w:eastAsia="Calibri" w:cstheme="minorHAnsi"/>
                <w:sz w:val="20"/>
                <w:szCs w:val="18"/>
                <w:lang w:eastAsia="es-ES"/>
              </w:rPr>
              <w:t>8</w:t>
            </w:r>
            <w:r w:rsidRPr="006E1C0B">
              <w:rPr>
                <w:rFonts w:eastAsia="Calibri" w:cstheme="minorHAnsi"/>
                <w:sz w:val="20"/>
                <w:szCs w:val="18"/>
                <w:lang w:eastAsia="es-ES"/>
              </w:rPr>
              <w:t xml:space="preserve"> kilómetros de redes de alcantarillado </w:t>
            </w:r>
            <w:bookmarkEnd w:id="0"/>
            <w:r>
              <w:rPr>
                <w:rFonts w:eastAsia="Calibri" w:cstheme="minorHAnsi"/>
                <w:sz w:val="20"/>
                <w:szCs w:val="18"/>
                <w:lang w:eastAsia="es-ES"/>
              </w:rPr>
              <w:t>a lo largo</w:t>
            </w:r>
            <w:r w:rsidRPr="006E1C0B">
              <w:rPr>
                <w:rFonts w:eastAsia="Calibri" w:cstheme="minorHAnsi"/>
                <w:sz w:val="20"/>
                <w:szCs w:val="18"/>
                <w:lang w:eastAsia="es-ES"/>
              </w:rPr>
              <w:t xml:space="preserve"> de Av. Jacobo Majluta</w:t>
            </w:r>
            <w:bookmarkEnd w:id="1"/>
            <w:r>
              <w:rPr>
                <w:rFonts w:eastAsia="Calibri" w:cstheme="minorHAnsi"/>
                <w:sz w:val="20"/>
                <w:szCs w:val="18"/>
                <w:lang w:eastAsia="es-ES"/>
              </w:rPr>
              <w:t xml:space="preserve"> para conexión a la PTAR La Zurza de los residenciales entre la entrada de los Guaricanos y la avenida Mirador Norte</w:t>
            </w:r>
          </w:p>
        </w:tc>
      </w:tr>
      <w:tr w:rsidR="007C2545" w:rsidRPr="006E1C0B" w14:paraId="4E964DFF" w14:textId="77777777" w:rsidTr="00AD57A0">
        <w:trPr>
          <w:jc w:val="center"/>
        </w:trPr>
        <w:tc>
          <w:tcPr>
            <w:tcW w:w="9918" w:type="dxa"/>
          </w:tcPr>
          <w:p w14:paraId="0AA8A9BD" w14:textId="77777777" w:rsidR="007C2545" w:rsidRPr="006E1C0B" w:rsidRDefault="007C2545" w:rsidP="00AD57A0">
            <w:pPr>
              <w:spacing w:line="360" w:lineRule="auto"/>
              <w:rPr>
                <w:rFonts w:eastAsia="Calibri" w:cstheme="minorHAnsi"/>
                <w:b/>
                <w:bCs/>
                <w:sz w:val="20"/>
                <w:szCs w:val="18"/>
                <w:lang w:eastAsia="es-ES"/>
              </w:rPr>
            </w:pPr>
            <w:r w:rsidRPr="006E1C0B">
              <w:rPr>
                <w:rFonts w:eastAsia="Calibri" w:cstheme="minorHAnsi"/>
                <w:b/>
                <w:bCs/>
                <w:sz w:val="20"/>
                <w:szCs w:val="18"/>
                <w:lang w:eastAsia="es-ES"/>
              </w:rPr>
              <w:t>Objetivos del proyecto:</w:t>
            </w:r>
          </w:p>
          <w:p w14:paraId="03846DEA" w14:textId="77777777" w:rsidR="007C2545" w:rsidRPr="001C091C" w:rsidRDefault="007C2545" w:rsidP="00AD57A0">
            <w:pPr>
              <w:spacing w:after="0" w:line="360" w:lineRule="auto"/>
              <w:rPr>
                <w:rFonts w:cstheme="minorHAnsi"/>
                <w:b/>
                <w:sz w:val="20"/>
                <w:szCs w:val="18"/>
              </w:rPr>
            </w:pPr>
            <w:r w:rsidRPr="006E1C0B">
              <w:rPr>
                <w:rFonts w:cstheme="minorHAnsi"/>
                <w:b/>
                <w:sz w:val="20"/>
                <w:szCs w:val="18"/>
              </w:rPr>
              <w:t>1.</w:t>
            </w:r>
            <w:r w:rsidRPr="001C091C">
              <w:rPr>
                <w:rFonts w:cstheme="minorHAnsi"/>
                <w:b/>
                <w:sz w:val="20"/>
                <w:szCs w:val="18"/>
              </w:rPr>
              <w:t xml:space="preserve"> Objetivo General: </w:t>
            </w:r>
          </w:p>
          <w:p w14:paraId="0A794A9B" w14:textId="77777777" w:rsidR="007C2545" w:rsidRPr="001C091C" w:rsidRDefault="007C2545" w:rsidP="00AD57A0">
            <w:pPr>
              <w:spacing w:after="0" w:line="360" w:lineRule="auto"/>
              <w:rPr>
                <w:rFonts w:cstheme="minorHAnsi"/>
                <w:b/>
                <w:sz w:val="20"/>
                <w:szCs w:val="18"/>
              </w:rPr>
            </w:pPr>
            <w:r w:rsidRPr="001C091C">
              <w:rPr>
                <w:rFonts w:cstheme="minorHAnsi"/>
                <w:bCs/>
                <w:sz w:val="20"/>
                <w:szCs w:val="18"/>
              </w:rPr>
              <w:t>Mejorar las condiciones de salubridad y la calidad de vida de los habitantes en los sectores enmarcados por el proyecto</w:t>
            </w:r>
            <w:r w:rsidRPr="001C091C">
              <w:rPr>
                <w:rFonts w:cstheme="minorHAnsi"/>
                <w:b/>
                <w:sz w:val="20"/>
                <w:szCs w:val="18"/>
              </w:rPr>
              <w:t>.</w:t>
            </w:r>
          </w:p>
          <w:p w14:paraId="6A2FD04E" w14:textId="77777777" w:rsidR="007C2545" w:rsidRPr="001C091C" w:rsidRDefault="007C2545" w:rsidP="00AD57A0">
            <w:pPr>
              <w:spacing w:after="0" w:line="360" w:lineRule="auto"/>
              <w:rPr>
                <w:rFonts w:cstheme="minorHAnsi"/>
                <w:b/>
                <w:sz w:val="20"/>
                <w:szCs w:val="18"/>
              </w:rPr>
            </w:pPr>
            <w:r w:rsidRPr="001C091C">
              <w:rPr>
                <w:rFonts w:cstheme="minorHAnsi"/>
                <w:b/>
                <w:sz w:val="20"/>
                <w:szCs w:val="18"/>
              </w:rPr>
              <w:t>2. Objetivo del proyecto:</w:t>
            </w:r>
          </w:p>
          <w:p w14:paraId="475742C9" w14:textId="77777777" w:rsidR="007C2545" w:rsidRPr="001C091C" w:rsidRDefault="007C2545" w:rsidP="00AD57A0">
            <w:pPr>
              <w:spacing w:after="0" w:line="360" w:lineRule="auto"/>
              <w:rPr>
                <w:rFonts w:cstheme="minorHAnsi"/>
                <w:bCs/>
                <w:sz w:val="20"/>
                <w:szCs w:val="18"/>
              </w:rPr>
            </w:pPr>
            <w:r w:rsidRPr="001C091C">
              <w:rPr>
                <w:rFonts w:cstheme="minorHAnsi"/>
                <w:bCs/>
                <w:sz w:val="20"/>
                <w:szCs w:val="18"/>
              </w:rPr>
              <w:t>Eficientizar el servicio de recolección de las aguas residuales en los sectores circundantes a la avenida Jacobo Majluta</w:t>
            </w:r>
          </w:p>
          <w:p w14:paraId="79A9FBEC" w14:textId="77777777" w:rsidR="007C2545" w:rsidRPr="001C091C" w:rsidRDefault="007C2545" w:rsidP="00AD57A0">
            <w:pPr>
              <w:spacing w:after="0" w:line="360" w:lineRule="auto"/>
              <w:rPr>
                <w:rFonts w:cstheme="minorHAnsi"/>
                <w:b/>
                <w:sz w:val="20"/>
                <w:szCs w:val="18"/>
              </w:rPr>
            </w:pPr>
            <w:r w:rsidRPr="001C091C">
              <w:rPr>
                <w:rFonts w:cstheme="minorHAnsi"/>
                <w:b/>
                <w:sz w:val="20"/>
                <w:szCs w:val="18"/>
              </w:rPr>
              <w:t>3. Objetivos específicos:</w:t>
            </w:r>
          </w:p>
          <w:p w14:paraId="093283F3" w14:textId="77777777" w:rsidR="007C2545" w:rsidRPr="001C091C" w:rsidRDefault="007C2545" w:rsidP="007C2545">
            <w:pPr>
              <w:pStyle w:val="Prrafodelista"/>
              <w:widowControl w:val="0"/>
              <w:numPr>
                <w:ilvl w:val="0"/>
                <w:numId w:val="7"/>
              </w:numPr>
              <w:autoSpaceDE w:val="0"/>
              <w:autoSpaceDN w:val="0"/>
              <w:adjustRightInd w:val="0"/>
              <w:spacing w:after="0" w:line="360" w:lineRule="auto"/>
              <w:rPr>
                <w:rFonts w:cstheme="minorHAnsi"/>
                <w:bCs/>
                <w:szCs w:val="18"/>
              </w:rPr>
            </w:pPr>
            <w:r w:rsidRPr="001C091C">
              <w:rPr>
                <w:rFonts w:cstheme="minorHAnsi"/>
                <w:bCs/>
                <w:szCs w:val="18"/>
              </w:rPr>
              <w:t>Colocación de 5,866 metros lineales de tuberías nuevas</w:t>
            </w:r>
          </w:p>
          <w:p w14:paraId="71FCB473" w14:textId="77777777" w:rsidR="007C2545" w:rsidRPr="001C091C" w:rsidRDefault="007C2545" w:rsidP="007C2545">
            <w:pPr>
              <w:pStyle w:val="Prrafodelista"/>
              <w:widowControl w:val="0"/>
              <w:numPr>
                <w:ilvl w:val="0"/>
                <w:numId w:val="7"/>
              </w:numPr>
              <w:autoSpaceDE w:val="0"/>
              <w:autoSpaceDN w:val="0"/>
              <w:adjustRightInd w:val="0"/>
              <w:spacing w:after="0" w:line="360" w:lineRule="auto"/>
              <w:rPr>
                <w:rFonts w:cstheme="minorHAnsi"/>
                <w:bCs/>
                <w:szCs w:val="18"/>
              </w:rPr>
            </w:pPr>
            <w:r w:rsidRPr="001C091C">
              <w:rPr>
                <w:rFonts w:cstheme="minorHAnsi"/>
                <w:bCs/>
                <w:szCs w:val="18"/>
              </w:rPr>
              <w:t>Construcción de 7 registros sanitarios</w:t>
            </w:r>
          </w:p>
          <w:p w14:paraId="06A3A24E" w14:textId="77777777" w:rsidR="007C2545" w:rsidRPr="001C091C" w:rsidRDefault="007C2545" w:rsidP="007C2545">
            <w:pPr>
              <w:pStyle w:val="Prrafodelista"/>
              <w:widowControl w:val="0"/>
              <w:numPr>
                <w:ilvl w:val="0"/>
                <w:numId w:val="7"/>
              </w:numPr>
              <w:autoSpaceDE w:val="0"/>
              <w:autoSpaceDN w:val="0"/>
              <w:adjustRightInd w:val="0"/>
              <w:spacing w:after="0" w:line="360" w:lineRule="auto"/>
              <w:rPr>
                <w:rFonts w:cstheme="minorHAnsi"/>
                <w:b/>
                <w:szCs w:val="18"/>
              </w:rPr>
            </w:pPr>
            <w:r w:rsidRPr="001C091C">
              <w:rPr>
                <w:rFonts w:cstheme="minorHAnsi"/>
                <w:bCs/>
                <w:szCs w:val="18"/>
              </w:rPr>
              <w:t>Reposición de calles, aceras y contenes</w:t>
            </w:r>
          </w:p>
        </w:tc>
      </w:tr>
      <w:tr w:rsidR="007C2545" w:rsidRPr="006E1C0B" w14:paraId="2F06FD92" w14:textId="77777777" w:rsidTr="00AD57A0">
        <w:trPr>
          <w:jc w:val="center"/>
        </w:trPr>
        <w:tc>
          <w:tcPr>
            <w:tcW w:w="9918" w:type="dxa"/>
          </w:tcPr>
          <w:p w14:paraId="773B0A4C" w14:textId="77777777" w:rsidR="007C2545" w:rsidRPr="006E1C0B" w:rsidRDefault="007C2545" w:rsidP="00AD57A0">
            <w:pPr>
              <w:spacing w:line="360" w:lineRule="auto"/>
              <w:rPr>
                <w:rFonts w:eastAsia="Calibri" w:cstheme="minorHAnsi"/>
                <w:b/>
                <w:bCs/>
                <w:sz w:val="20"/>
                <w:szCs w:val="18"/>
                <w:lang w:eastAsia="es-ES"/>
              </w:rPr>
            </w:pPr>
            <w:r w:rsidRPr="006E1C0B">
              <w:rPr>
                <w:rFonts w:eastAsia="Calibri" w:cstheme="minorHAnsi"/>
                <w:b/>
                <w:bCs/>
                <w:sz w:val="20"/>
                <w:szCs w:val="18"/>
                <w:lang w:eastAsia="es-ES"/>
              </w:rPr>
              <w:t xml:space="preserve">Duración total en años: </w:t>
            </w:r>
            <w:r w:rsidRPr="006E1C0B">
              <w:rPr>
                <w:rFonts w:eastAsia="Calibri" w:cstheme="minorHAnsi"/>
                <w:bCs/>
                <w:sz w:val="20"/>
                <w:szCs w:val="18"/>
                <w:lang w:eastAsia="es-ES"/>
              </w:rPr>
              <w:t>2 Año</w:t>
            </w:r>
            <w:r>
              <w:rPr>
                <w:rFonts w:eastAsia="Calibri" w:cstheme="minorHAnsi"/>
                <w:bCs/>
                <w:sz w:val="20"/>
                <w:szCs w:val="18"/>
                <w:lang w:eastAsia="es-ES"/>
              </w:rPr>
              <w:t>s</w:t>
            </w:r>
          </w:p>
        </w:tc>
      </w:tr>
      <w:tr w:rsidR="007C2545" w:rsidRPr="006E1C0B" w14:paraId="75940D15" w14:textId="77777777" w:rsidTr="00AD57A0">
        <w:trPr>
          <w:jc w:val="center"/>
        </w:trPr>
        <w:tc>
          <w:tcPr>
            <w:tcW w:w="9918" w:type="dxa"/>
          </w:tcPr>
          <w:p w14:paraId="3A3A9C89" w14:textId="77777777" w:rsidR="007C2545" w:rsidRPr="006E1C0B" w:rsidRDefault="007C2545" w:rsidP="00AD57A0">
            <w:pPr>
              <w:tabs>
                <w:tab w:val="center" w:pos="4851"/>
              </w:tabs>
              <w:spacing w:line="360" w:lineRule="auto"/>
              <w:rPr>
                <w:rFonts w:eastAsia="Calibri" w:cstheme="minorHAnsi"/>
                <w:bCs/>
                <w:sz w:val="20"/>
                <w:szCs w:val="18"/>
                <w:lang w:eastAsia="es-ES"/>
              </w:rPr>
            </w:pPr>
            <w:r w:rsidRPr="006E1C0B">
              <w:rPr>
                <w:rFonts w:eastAsia="Calibri" w:cstheme="minorHAnsi"/>
                <w:b/>
                <w:bCs/>
                <w:sz w:val="20"/>
                <w:szCs w:val="18"/>
                <w:lang w:eastAsia="es-ES"/>
              </w:rPr>
              <w:t xml:space="preserve">Costos Total del Proyecto: </w:t>
            </w:r>
            <w:r w:rsidRPr="006E1C0B">
              <w:rPr>
                <w:rFonts w:eastAsia="Times New Roman" w:cstheme="minorHAnsi"/>
                <w:color w:val="000000"/>
                <w:sz w:val="20"/>
                <w:szCs w:val="18"/>
                <w:lang w:eastAsia="es-ES"/>
              </w:rPr>
              <w:t xml:space="preserve">RD$ </w:t>
            </w:r>
            <w:r w:rsidRPr="00FA1FCF">
              <w:rPr>
                <w:rFonts w:eastAsia="Times New Roman" w:cstheme="minorHAnsi"/>
                <w:color w:val="000000"/>
                <w:sz w:val="20"/>
                <w:szCs w:val="18"/>
                <w:lang w:eastAsia="es-ES"/>
              </w:rPr>
              <w:t>586,285,851.78</w:t>
            </w:r>
            <w:r w:rsidRPr="006E1C0B">
              <w:rPr>
                <w:rFonts w:eastAsia="Times New Roman" w:cstheme="minorHAnsi"/>
                <w:color w:val="000000"/>
                <w:sz w:val="20"/>
                <w:szCs w:val="18"/>
                <w:lang w:eastAsia="es-ES"/>
              </w:rPr>
              <w:tab/>
            </w:r>
          </w:p>
        </w:tc>
      </w:tr>
      <w:tr w:rsidR="007C2545" w:rsidRPr="006E1C0B" w14:paraId="24968333" w14:textId="77777777" w:rsidTr="00AD57A0">
        <w:trPr>
          <w:trHeight w:val="70"/>
          <w:jc w:val="center"/>
        </w:trPr>
        <w:tc>
          <w:tcPr>
            <w:tcW w:w="9918" w:type="dxa"/>
          </w:tcPr>
          <w:p w14:paraId="4BC6CC40" w14:textId="77777777" w:rsidR="007C2545" w:rsidRPr="006E1C0B" w:rsidRDefault="007C2545" w:rsidP="00AD57A0">
            <w:pPr>
              <w:spacing w:line="360" w:lineRule="auto"/>
              <w:rPr>
                <w:rFonts w:eastAsia="Calibri" w:cstheme="minorHAnsi"/>
                <w:b/>
                <w:bCs/>
                <w:sz w:val="20"/>
                <w:szCs w:val="18"/>
                <w:lang w:eastAsia="es-ES"/>
              </w:rPr>
            </w:pPr>
            <w:r w:rsidRPr="006E1C0B">
              <w:rPr>
                <w:rFonts w:eastAsia="Calibri" w:cstheme="minorHAnsi"/>
                <w:b/>
                <w:bCs/>
                <w:sz w:val="20"/>
                <w:szCs w:val="18"/>
                <w:lang w:eastAsia="es-ES"/>
              </w:rPr>
              <w:t xml:space="preserve">Monto solicitado para el año presupuestal 2025: </w:t>
            </w:r>
            <w:r w:rsidRPr="006E1C0B">
              <w:rPr>
                <w:rFonts w:eastAsia="Times New Roman" w:cstheme="minorHAnsi"/>
                <w:color w:val="000000"/>
                <w:sz w:val="20"/>
                <w:szCs w:val="18"/>
                <w:lang w:eastAsia="es-ES"/>
              </w:rPr>
              <w:t xml:space="preserve">RD$ </w:t>
            </w:r>
            <w:r w:rsidRPr="00FA1FCF">
              <w:rPr>
                <w:rFonts w:eastAsia="Times New Roman" w:cstheme="minorHAnsi"/>
                <w:color w:val="000000"/>
                <w:sz w:val="20"/>
                <w:szCs w:val="18"/>
                <w:lang w:eastAsia="es-ES"/>
              </w:rPr>
              <w:t>117,257,170.36</w:t>
            </w:r>
          </w:p>
        </w:tc>
      </w:tr>
      <w:tr w:rsidR="007C2545" w:rsidRPr="006E1C0B" w14:paraId="110DB55E" w14:textId="77777777" w:rsidTr="00AD57A0">
        <w:trPr>
          <w:jc w:val="center"/>
        </w:trPr>
        <w:tc>
          <w:tcPr>
            <w:tcW w:w="9918" w:type="dxa"/>
          </w:tcPr>
          <w:p w14:paraId="3D340E19" w14:textId="77777777" w:rsidR="007C2545" w:rsidRPr="006E1C0B" w:rsidRDefault="007C2545" w:rsidP="00AD57A0">
            <w:pPr>
              <w:spacing w:line="360" w:lineRule="auto"/>
              <w:rPr>
                <w:rFonts w:eastAsia="Calibri" w:cstheme="minorHAnsi"/>
                <w:bCs/>
                <w:sz w:val="20"/>
                <w:szCs w:val="18"/>
                <w:lang w:eastAsia="es-ES"/>
              </w:rPr>
            </w:pPr>
            <w:r w:rsidRPr="006E1C0B">
              <w:rPr>
                <w:rFonts w:eastAsia="Calibri" w:cstheme="minorHAnsi"/>
                <w:b/>
                <w:bCs/>
                <w:sz w:val="20"/>
                <w:szCs w:val="18"/>
                <w:lang w:eastAsia="es-ES"/>
              </w:rPr>
              <w:t xml:space="preserve">Población Beneficiada:  </w:t>
            </w:r>
            <w:r>
              <w:rPr>
                <w:rFonts w:eastAsia="Calibri" w:cstheme="minorHAnsi"/>
                <w:sz w:val="20"/>
                <w:szCs w:val="18"/>
                <w:lang w:eastAsia="es-ES"/>
              </w:rPr>
              <w:t>103</w:t>
            </w:r>
            <w:r w:rsidRPr="006E1C0B">
              <w:rPr>
                <w:rFonts w:eastAsia="Calibri" w:cstheme="minorHAnsi"/>
                <w:sz w:val="20"/>
                <w:szCs w:val="18"/>
                <w:lang w:eastAsia="es-ES"/>
              </w:rPr>
              <w:t>,</w:t>
            </w:r>
            <w:r>
              <w:rPr>
                <w:rFonts w:eastAsia="Calibri" w:cstheme="minorHAnsi"/>
                <w:sz w:val="20"/>
                <w:szCs w:val="18"/>
                <w:lang w:eastAsia="es-ES"/>
              </w:rPr>
              <w:t>899</w:t>
            </w:r>
            <w:r w:rsidRPr="006E1C0B">
              <w:rPr>
                <w:rFonts w:eastAsia="Calibri" w:cstheme="minorHAnsi"/>
                <w:bCs/>
                <w:sz w:val="20"/>
                <w:szCs w:val="18"/>
                <w:lang w:eastAsia="es-ES"/>
              </w:rPr>
              <w:t xml:space="preserve"> Habitantes</w:t>
            </w:r>
          </w:p>
        </w:tc>
      </w:tr>
      <w:tr w:rsidR="007C2545" w:rsidRPr="006E1C0B" w14:paraId="7D72B2C4" w14:textId="77777777" w:rsidTr="00AD57A0">
        <w:trPr>
          <w:jc w:val="center"/>
        </w:trPr>
        <w:tc>
          <w:tcPr>
            <w:tcW w:w="9918" w:type="dxa"/>
          </w:tcPr>
          <w:p w14:paraId="55F39A48" w14:textId="77777777" w:rsidR="007C2545" w:rsidRPr="006E1C0B" w:rsidRDefault="007C2545" w:rsidP="00AD57A0">
            <w:pPr>
              <w:spacing w:line="360" w:lineRule="auto"/>
              <w:ind w:right="-518"/>
              <w:rPr>
                <w:sz w:val="20"/>
                <w:szCs w:val="18"/>
              </w:rPr>
            </w:pPr>
            <w:r w:rsidRPr="006E1C0B">
              <w:rPr>
                <w:rFonts w:ascii="Calibri" w:eastAsia="Calibri" w:hAnsi="Calibri"/>
                <w:b/>
                <w:bCs/>
                <w:sz w:val="20"/>
                <w:szCs w:val="18"/>
              </w:rPr>
              <w:t xml:space="preserve">Sectores Beneficiados: </w:t>
            </w:r>
            <w:r w:rsidRPr="006E1C0B">
              <w:rPr>
                <w:rFonts w:ascii="Calibri" w:eastAsia="Calibri" w:hAnsi="Calibri"/>
                <w:sz w:val="20"/>
                <w:szCs w:val="18"/>
              </w:rPr>
              <w:t>Ciudad Modelo, Buena Venturanza, Colina del Arroyo II, Residencial Gren Park, Residencial Las Margaritas, Residencial La María, Villas del Lago II, Colina Centro, Residencial Doña Carmen, Cruz del Prado Residencial Jardines del</w:t>
            </w:r>
            <w:r>
              <w:rPr>
                <w:rFonts w:ascii="Calibri" w:eastAsia="Calibri" w:hAnsi="Calibri"/>
                <w:sz w:val="20"/>
                <w:szCs w:val="18"/>
              </w:rPr>
              <w:t xml:space="preserve"> Arroyo, </w:t>
            </w:r>
            <w:r w:rsidRPr="009318D8">
              <w:rPr>
                <w:rFonts w:ascii="Calibri" w:eastAsia="Calibri" w:hAnsi="Calibri"/>
                <w:sz w:val="20"/>
                <w:szCs w:val="18"/>
              </w:rPr>
              <w:t>Residencial Villa España, Residencial Juan Rafael, El Dorado</w:t>
            </w:r>
            <w:r>
              <w:rPr>
                <w:rFonts w:ascii="Calibri" w:eastAsia="Calibri" w:hAnsi="Calibri"/>
                <w:sz w:val="20"/>
                <w:szCs w:val="18"/>
              </w:rPr>
              <w:t>.</w:t>
            </w:r>
          </w:p>
        </w:tc>
      </w:tr>
    </w:tbl>
    <w:p w14:paraId="349C2CE1" w14:textId="77777777" w:rsidR="00B01913" w:rsidRDefault="00B01913"/>
    <w:sectPr w:rsidR="00B019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9CB1"/>
      </v:shape>
    </w:pict>
  </w:numPicBullet>
  <w:abstractNum w:abstractNumId="0" w15:restartNumberingAfterBreak="0">
    <w:nsid w:val="0D7D1A2D"/>
    <w:multiLevelType w:val="hybridMultilevel"/>
    <w:tmpl w:val="FD2AD410"/>
    <w:lvl w:ilvl="0" w:tplc="1C0A0009">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36965329"/>
    <w:multiLevelType w:val="hybridMultilevel"/>
    <w:tmpl w:val="38E4E4E8"/>
    <w:lvl w:ilvl="0" w:tplc="1C0A0007">
      <w:start w:val="1"/>
      <w:numFmt w:val="bullet"/>
      <w:lvlText w:val=""/>
      <w:lvlPicBulletId w:val="0"/>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53360349"/>
    <w:multiLevelType w:val="hybridMultilevel"/>
    <w:tmpl w:val="83F0F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E0D7433"/>
    <w:multiLevelType w:val="hybridMultilevel"/>
    <w:tmpl w:val="4574D3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5F5810D6"/>
    <w:multiLevelType w:val="hybridMultilevel"/>
    <w:tmpl w:val="180CFFB4"/>
    <w:lvl w:ilvl="0" w:tplc="1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E394D06"/>
    <w:multiLevelType w:val="hybridMultilevel"/>
    <w:tmpl w:val="460C858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7C4F42D9"/>
    <w:multiLevelType w:val="hybridMultilevel"/>
    <w:tmpl w:val="1E7E1C80"/>
    <w:lvl w:ilvl="0" w:tplc="1C0A0007">
      <w:start w:val="1"/>
      <w:numFmt w:val="bullet"/>
      <w:lvlText w:val=""/>
      <w:lvlPicBulletId w:val="0"/>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1672829087">
    <w:abstractNumId w:val="3"/>
  </w:num>
  <w:num w:numId="2" w16cid:durableId="818309583">
    <w:abstractNumId w:val="5"/>
  </w:num>
  <w:num w:numId="3" w16cid:durableId="826047546">
    <w:abstractNumId w:val="0"/>
  </w:num>
  <w:num w:numId="4" w16cid:durableId="61487318">
    <w:abstractNumId w:val="6"/>
  </w:num>
  <w:num w:numId="5" w16cid:durableId="952246427">
    <w:abstractNumId w:val="1"/>
  </w:num>
  <w:num w:numId="6" w16cid:durableId="578946767">
    <w:abstractNumId w:val="4"/>
  </w:num>
  <w:num w:numId="7" w16cid:durableId="880169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10"/>
    <w:rsid w:val="001253F1"/>
    <w:rsid w:val="002710B3"/>
    <w:rsid w:val="005A5A7E"/>
    <w:rsid w:val="00723410"/>
    <w:rsid w:val="0074024F"/>
    <w:rsid w:val="007C2545"/>
    <w:rsid w:val="00B01913"/>
    <w:rsid w:val="00C15E24"/>
    <w:rsid w:val="00C746CF"/>
    <w:rsid w:val="00D77954"/>
    <w:rsid w:val="00DC616E"/>
    <w:rsid w:val="00EC0968"/>
    <w:rsid w:val="00F2617E"/>
    <w:rsid w:val="00FF6E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8A1E8"/>
  <w15:chartTrackingRefBased/>
  <w15:docId w15:val="{140EC3D3-E3CD-46EF-AF1B-BA41F315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410"/>
    <w:pPr>
      <w:spacing w:after="200" w:line="276" w:lineRule="auto"/>
      <w:jc w:val="both"/>
    </w:pPr>
    <w:rPr>
      <w:lang w:val="es-ES"/>
    </w:rPr>
  </w:style>
  <w:style w:type="paragraph" w:styleId="Ttulo1">
    <w:name w:val="heading 1"/>
    <w:basedOn w:val="Normal"/>
    <w:next w:val="Normal"/>
    <w:link w:val="Ttulo1Car"/>
    <w:uiPriority w:val="9"/>
    <w:qFormat/>
    <w:rsid w:val="007234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7234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34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34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34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34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34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34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34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34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7234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34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34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34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34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34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34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3410"/>
    <w:rPr>
      <w:rFonts w:eastAsiaTheme="majorEastAsia" w:cstheme="majorBidi"/>
      <w:color w:val="272727" w:themeColor="text1" w:themeTint="D8"/>
    </w:rPr>
  </w:style>
  <w:style w:type="paragraph" w:styleId="Ttulo">
    <w:name w:val="Title"/>
    <w:basedOn w:val="Normal"/>
    <w:next w:val="Normal"/>
    <w:link w:val="TtuloCar"/>
    <w:uiPriority w:val="10"/>
    <w:qFormat/>
    <w:rsid w:val="00723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34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34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34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3410"/>
    <w:pPr>
      <w:spacing w:before="160"/>
      <w:jc w:val="center"/>
    </w:pPr>
    <w:rPr>
      <w:i/>
      <w:iCs/>
      <w:color w:val="404040" w:themeColor="text1" w:themeTint="BF"/>
    </w:rPr>
  </w:style>
  <w:style w:type="character" w:customStyle="1" w:styleId="CitaCar">
    <w:name w:val="Cita Car"/>
    <w:basedOn w:val="Fuentedeprrafopredeter"/>
    <w:link w:val="Cita"/>
    <w:uiPriority w:val="29"/>
    <w:rsid w:val="00723410"/>
    <w:rPr>
      <w:i/>
      <w:iCs/>
      <w:color w:val="404040" w:themeColor="text1" w:themeTint="BF"/>
    </w:rPr>
  </w:style>
  <w:style w:type="paragraph" w:styleId="Prrafodelista">
    <w:name w:val="List Paragraph"/>
    <w:basedOn w:val="Normal"/>
    <w:uiPriority w:val="34"/>
    <w:qFormat/>
    <w:rsid w:val="00723410"/>
    <w:pPr>
      <w:ind w:left="720"/>
      <w:contextualSpacing/>
    </w:pPr>
  </w:style>
  <w:style w:type="character" w:styleId="nfasisintenso">
    <w:name w:val="Intense Emphasis"/>
    <w:basedOn w:val="Fuentedeprrafopredeter"/>
    <w:uiPriority w:val="21"/>
    <w:qFormat/>
    <w:rsid w:val="00723410"/>
    <w:rPr>
      <w:i/>
      <w:iCs/>
      <w:color w:val="0F4761" w:themeColor="accent1" w:themeShade="BF"/>
    </w:rPr>
  </w:style>
  <w:style w:type="paragraph" w:styleId="Citadestacada">
    <w:name w:val="Intense Quote"/>
    <w:basedOn w:val="Normal"/>
    <w:next w:val="Normal"/>
    <w:link w:val="CitadestacadaCar"/>
    <w:uiPriority w:val="30"/>
    <w:qFormat/>
    <w:rsid w:val="00723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3410"/>
    <w:rPr>
      <w:i/>
      <w:iCs/>
      <w:color w:val="0F4761" w:themeColor="accent1" w:themeShade="BF"/>
    </w:rPr>
  </w:style>
  <w:style w:type="character" w:styleId="Referenciaintensa">
    <w:name w:val="Intense Reference"/>
    <w:basedOn w:val="Fuentedeprrafopredeter"/>
    <w:uiPriority w:val="32"/>
    <w:qFormat/>
    <w:rsid w:val="007234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1355</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 Polanco Albuerne</dc:creator>
  <cp:keywords/>
  <dc:description/>
  <cp:lastModifiedBy>Sergio M. Polanco Albuerne</cp:lastModifiedBy>
  <cp:revision>3</cp:revision>
  <dcterms:created xsi:type="dcterms:W3CDTF">2026-01-19T19:26:00Z</dcterms:created>
  <dcterms:modified xsi:type="dcterms:W3CDTF">2026-01-19T19:26:00Z</dcterms:modified>
</cp:coreProperties>
</file>